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highlight w:val="none"/>
          <w:lang w:val="en-US" w:eastAsia="zh-CN"/>
        </w:rPr>
      </w:pPr>
      <w:bookmarkStart w:id="0" w:name="_Hlk59117519"/>
      <w:bookmarkStart w:id="1" w:name="_Hlk64537943"/>
      <w:bookmarkStart w:id="2" w:name="_Hlk64546464"/>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bookmarkEnd w:id="0"/>
    <w:p>
      <w:pPr>
        <w:adjustRightInd w:val="0"/>
        <w:snapToGrid w:val="0"/>
        <w:jc w:val="center"/>
        <w:rPr>
          <w:rFonts w:ascii="黑体" w:hAnsi="黑体" w:eastAsia="黑体"/>
          <w:b/>
          <w:spacing w:val="60"/>
          <w:sz w:val="52"/>
          <w:szCs w:val="52"/>
          <w:highlight w:val="none"/>
          <w14:shadow w14:blurRad="50800" w14:dist="38100" w14:dir="2700000" w14:sx="100000" w14:sy="100000" w14:kx="0" w14:ky="0" w14:algn="tl">
            <w14:srgbClr w14:val="000000">
              <w14:alpha w14:val="60000"/>
            </w14:srgbClr>
          </w14:shadow>
        </w:rPr>
      </w:pPr>
      <w:r>
        <w:rPr>
          <w:rFonts w:hint="eastAsia" w:ascii="黑体" w:hAnsi="黑体" w:eastAsia="黑体"/>
          <w:b/>
          <w:spacing w:val="60"/>
          <w:sz w:val="52"/>
          <w:szCs w:val="52"/>
          <w:highlight w:val="none"/>
          <w14:shadow w14:blurRad="50800" w14:dist="38100" w14:dir="2700000" w14:sx="100000" w14:sy="100000" w14:kx="0" w14:ky="0" w14:algn="tl">
            <w14:srgbClr w14:val="000000">
              <w14:alpha w14:val="60000"/>
            </w14:srgbClr>
          </w14:shadow>
        </w:rPr>
        <w:t>湖北科技学院采购项目</w:t>
      </w:r>
    </w:p>
    <w:bookmarkEnd w:id="1"/>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黑体" w:hAnsi="黑体" w:eastAsia="黑体"/>
          <w:b/>
          <w:sz w:val="64"/>
          <w:szCs w:val="64"/>
          <w:highlight w:val="none"/>
          <w14:shadow w14:blurRad="50800" w14:dist="38100" w14:dir="2700000" w14:sx="100000" w14:sy="100000" w14:kx="0" w14:ky="0" w14:algn="tl">
            <w14:srgbClr w14:val="000000">
              <w14:alpha w14:val="60000"/>
            </w14:srgbClr>
          </w14:shadow>
        </w:rPr>
      </w:pPr>
      <w:r>
        <w:rPr>
          <w:rFonts w:hint="eastAsia" w:ascii="黑体" w:hAnsi="黑体" w:eastAsia="黑体"/>
          <w:b/>
          <w:sz w:val="64"/>
          <w:szCs w:val="64"/>
          <w:highlight w:val="none"/>
          <w14:shadow w14:blurRad="50800" w14:dist="38100" w14:dir="2700000" w14:sx="100000" w14:sy="100000" w14:kx="0" w14:ky="0" w14:algn="tl">
            <w14:srgbClr w14:val="000000">
              <w14:alpha w14:val="60000"/>
            </w14:srgbClr>
          </w14:shadow>
        </w:rPr>
        <w:t>竞争性磋商文件</w:t>
      </w: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tbl>
      <w:tblPr>
        <w:tblStyle w:val="32"/>
        <w:tblW w:w="0" w:type="auto"/>
        <w:jc w:val="center"/>
        <w:tblLayout w:type="fixed"/>
        <w:tblCellMar>
          <w:top w:w="0" w:type="dxa"/>
          <w:left w:w="108" w:type="dxa"/>
          <w:bottom w:w="0" w:type="dxa"/>
          <w:right w:w="108" w:type="dxa"/>
        </w:tblCellMar>
      </w:tblPr>
      <w:tblGrid>
        <w:gridCol w:w="1566"/>
        <w:gridCol w:w="6514"/>
      </w:tblGrid>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项目编号</w:t>
            </w:r>
            <w:r>
              <w:rPr>
                <w:rFonts w:hint="eastAsia" w:ascii="黑体" w:hAnsi="黑体" w:eastAsia="黑体"/>
                <w:bCs/>
                <w:color w:val="000000"/>
                <w:sz w:val="30"/>
                <w:szCs w:val="30"/>
                <w:highlight w:val="none"/>
              </w:rPr>
              <w:t>:</w:t>
            </w:r>
          </w:p>
        </w:tc>
        <w:tc>
          <w:tcPr>
            <w:tcW w:w="6514" w:type="dxa"/>
            <w:tcBorders>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r>
              <w:rPr>
                <w:rFonts w:hint="eastAsia" w:ascii="黑体" w:hAnsi="黑体" w:eastAsia="黑体"/>
                <w:bCs/>
                <w:color w:val="000000"/>
                <w:sz w:val="30"/>
                <w:szCs w:val="30"/>
                <w:highlight w:val="none"/>
              </w:rPr>
              <w:t>HK2021-073-Z</w:t>
            </w:r>
          </w:p>
        </w:tc>
      </w:tr>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项目名称</w:t>
            </w:r>
            <w:r>
              <w:rPr>
                <w:rFonts w:hint="eastAsia" w:ascii="黑体" w:hAnsi="黑体" w:eastAsia="黑体"/>
                <w:bCs/>
                <w:color w:val="000000"/>
                <w:sz w:val="30"/>
                <w:szCs w:val="30"/>
                <w:highlight w:val="none"/>
              </w:rPr>
              <w:t>:</w:t>
            </w:r>
          </w:p>
        </w:tc>
        <w:tc>
          <w:tcPr>
            <w:tcW w:w="6514" w:type="dxa"/>
            <w:tcBorders>
              <w:top w:val="single" w:color="auto" w:sz="8" w:space="0"/>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r>
              <w:rPr>
                <w:rFonts w:hint="eastAsia" w:ascii="黑体" w:hAnsi="黑体" w:eastAsia="黑体"/>
                <w:bCs/>
                <w:color w:val="000000"/>
                <w:sz w:val="30"/>
                <w:szCs w:val="30"/>
                <w:highlight w:val="none"/>
              </w:rPr>
              <w:t>湖北科技学院新增</w:t>
            </w:r>
            <w:r>
              <w:rPr>
                <w:rFonts w:hint="eastAsia" w:ascii="黑体" w:hAnsi="黑体" w:eastAsia="黑体"/>
                <w:bCs/>
                <w:color w:val="000000"/>
                <w:sz w:val="30"/>
                <w:szCs w:val="30"/>
                <w:highlight w:val="none"/>
                <w:lang w:eastAsia="zh-CN"/>
              </w:rPr>
              <w:t>视频</w:t>
            </w:r>
            <w:r>
              <w:rPr>
                <w:rFonts w:hint="eastAsia" w:ascii="黑体" w:hAnsi="黑体" w:eastAsia="黑体"/>
                <w:bCs/>
                <w:color w:val="000000"/>
                <w:sz w:val="30"/>
                <w:szCs w:val="30"/>
                <w:highlight w:val="none"/>
              </w:rPr>
              <w:t>监控摄像头及维护采购项目</w:t>
            </w:r>
          </w:p>
        </w:tc>
      </w:tr>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hint="eastAsia" w:ascii="黑体" w:hAnsi="黑体" w:eastAsia="黑体"/>
                <w:bCs/>
                <w:color w:val="000000"/>
                <w:sz w:val="30"/>
                <w:szCs w:val="30"/>
                <w:highlight w:val="none"/>
              </w:rPr>
              <w:t>采购内容:</w:t>
            </w:r>
          </w:p>
        </w:tc>
        <w:tc>
          <w:tcPr>
            <w:tcW w:w="6514" w:type="dxa"/>
            <w:tcBorders>
              <w:top w:val="single" w:color="auto" w:sz="8" w:space="0"/>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r>
              <w:rPr>
                <w:rFonts w:hint="eastAsia" w:ascii="黑体" w:hAnsi="黑体" w:eastAsia="黑体"/>
                <w:bCs/>
                <w:color w:val="000000"/>
                <w:sz w:val="30"/>
                <w:szCs w:val="30"/>
                <w:highlight w:val="none"/>
                <w:lang w:eastAsia="zh-CN"/>
              </w:rPr>
              <w:t>视频</w:t>
            </w:r>
            <w:r>
              <w:rPr>
                <w:rFonts w:hint="eastAsia" w:ascii="黑体" w:hAnsi="黑体" w:eastAsia="黑体"/>
                <w:bCs/>
                <w:color w:val="000000"/>
                <w:sz w:val="30"/>
                <w:szCs w:val="30"/>
                <w:highlight w:val="none"/>
              </w:rPr>
              <w:t>监控摄像头及维护采购1项</w:t>
            </w:r>
          </w:p>
        </w:tc>
      </w:tr>
    </w:tbl>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p>
      <w:pPr>
        <w:adjustRightInd w:val="0"/>
        <w:snapToGrid w:val="0"/>
        <w:jc w:val="center"/>
        <w:rPr>
          <w:rFonts w:ascii="宋体" w:hAnsi="宋体" w:eastAsia="宋体"/>
          <w:highlight w:val="none"/>
        </w:rPr>
      </w:pP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6"/>
        <w:gridCol w:w="3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0" w:type="auto"/>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采 购 人:</w:t>
            </w:r>
          </w:p>
        </w:tc>
        <w:tc>
          <w:tcPr>
            <w:tcW w:w="0" w:type="auto"/>
            <w:tcBorders>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湖北科技学院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0" w:type="auto"/>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代理机构:</w:t>
            </w:r>
          </w:p>
        </w:tc>
        <w:tc>
          <w:tcPr>
            <w:tcW w:w="0" w:type="auto"/>
            <w:tcBorders>
              <w:top w:val="single" w:color="auto" w:sz="4" w:space="0"/>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武汉富纳工程咨询有限公司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0" w:type="auto"/>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日　　期:</w:t>
            </w:r>
          </w:p>
        </w:tc>
        <w:tc>
          <w:tcPr>
            <w:tcW w:w="0" w:type="auto"/>
            <w:tcBorders>
              <w:top w:val="single" w:color="auto" w:sz="4" w:space="0"/>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二〇二一年</w:t>
            </w:r>
            <w:r>
              <w:rPr>
                <w:rFonts w:hint="eastAsia" w:ascii="黑体" w:hAnsi="黑体" w:eastAsia="黑体"/>
                <w:bCs/>
                <w:sz w:val="30"/>
                <w:szCs w:val="30"/>
                <w:highlight w:val="none"/>
                <w:lang w:eastAsia="zh-CN"/>
              </w:rPr>
              <w:t>八</w:t>
            </w:r>
            <w:r>
              <w:rPr>
                <w:rFonts w:hint="eastAsia" w:ascii="黑体" w:hAnsi="黑体" w:eastAsia="黑体"/>
                <w:bCs/>
                <w:sz w:val="30"/>
                <w:szCs w:val="30"/>
                <w:highlight w:val="none"/>
              </w:rPr>
              <w:t>月</w:t>
            </w:r>
          </w:p>
        </w:tc>
      </w:tr>
      <w:bookmarkEnd w:id="2"/>
    </w:tbl>
    <w:p>
      <w:pPr>
        <w:jc w:val="center"/>
        <w:rPr>
          <w:highlight w:val="none"/>
        </w:rPr>
      </w:pPr>
    </w:p>
    <w:p>
      <w:pPr>
        <w:jc w:val="left"/>
        <w:rPr>
          <w:highlight w:val="none"/>
        </w:rPr>
      </w:pPr>
    </w:p>
    <w:p>
      <w:pPr>
        <w:jc w:val="left"/>
        <w:rPr>
          <w:rFonts w:ascii="黑体" w:hAnsi="宋体" w:eastAsia="黑体"/>
          <w:sz w:val="32"/>
          <w:szCs w:val="32"/>
          <w:highlight w:val="none"/>
        </w:rPr>
        <w:sectPr>
          <w:pgSz w:w="11907" w:h="16840"/>
          <w:pgMar w:top="1418" w:right="1418" w:bottom="1418" w:left="1418" w:header="851" w:footer="992" w:gutter="0"/>
          <w:cols w:space="425" w:num="1"/>
          <w:docGrid w:linePitch="312" w:charSpace="0"/>
        </w:sectPr>
      </w:pPr>
    </w:p>
    <w:p>
      <w:pPr>
        <w:jc w:val="center"/>
        <w:rPr>
          <w:rFonts w:ascii="黑体" w:hAnsi="宋体" w:eastAsia="黑体"/>
          <w:sz w:val="32"/>
          <w:szCs w:val="32"/>
          <w:highlight w:val="none"/>
        </w:rPr>
      </w:pPr>
      <w:r>
        <w:rPr>
          <w:rFonts w:hint="eastAsia" w:ascii="黑体" w:hAnsi="宋体" w:eastAsia="黑体"/>
          <w:sz w:val="32"/>
          <w:szCs w:val="32"/>
          <w:highlight w:val="none"/>
        </w:rPr>
        <w:t>目　录</w:t>
      </w:r>
    </w:p>
    <w:p>
      <w:pPr>
        <w:pStyle w:val="25"/>
        <w:rPr>
          <w:rFonts w:cstheme="minorBidi"/>
          <w:b w:val="0"/>
          <w:kern w:val="2"/>
          <w:sz w:val="21"/>
          <w:highlight w:val="none"/>
        </w:rPr>
      </w:pPr>
      <w:r>
        <w:rPr>
          <w:highlight w:val="none"/>
        </w:rPr>
        <w:fldChar w:fldCharType="begin"/>
      </w:r>
      <w:r>
        <w:rPr>
          <w:highlight w:val="none"/>
        </w:rPr>
        <w:instrText xml:space="preserve"> TOC \o \h \z \u </w:instrText>
      </w:r>
      <w:r>
        <w:rPr>
          <w:highlight w:val="none"/>
        </w:rPr>
        <w:fldChar w:fldCharType="separate"/>
      </w:r>
      <w:r>
        <w:rPr>
          <w:highlight w:val="none"/>
        </w:rPr>
        <w:fldChar w:fldCharType="begin"/>
      </w:r>
      <w:r>
        <w:rPr>
          <w:highlight w:val="none"/>
        </w:rPr>
        <w:instrText xml:space="preserve"> HYPERLINK \l "_Toc65158778" </w:instrText>
      </w:r>
      <w:r>
        <w:rPr>
          <w:highlight w:val="none"/>
        </w:rPr>
        <w:fldChar w:fldCharType="separate"/>
      </w:r>
      <w:r>
        <w:rPr>
          <w:rStyle w:val="36"/>
          <w:rFonts w:ascii="黑体" w:hAnsi="黑体"/>
          <w:highlight w:val="none"/>
        </w:rPr>
        <w:t>第一章</w:t>
      </w:r>
      <w:r>
        <w:rPr>
          <w:rStyle w:val="36"/>
          <w:highlight w:val="none"/>
        </w:rPr>
        <w:t xml:space="preserve"> 竞争性磋商公告</w:t>
      </w:r>
      <w:r>
        <w:rPr>
          <w:highlight w:val="none"/>
        </w:rPr>
        <w:tab/>
      </w:r>
      <w:r>
        <w:rPr>
          <w:highlight w:val="none"/>
        </w:rPr>
        <w:fldChar w:fldCharType="begin"/>
      </w:r>
      <w:r>
        <w:rPr>
          <w:highlight w:val="none"/>
        </w:rPr>
        <w:instrText xml:space="preserve"> PAGEREF _Toc65158778 \h </w:instrText>
      </w:r>
      <w:r>
        <w:rPr>
          <w:highlight w:val="none"/>
        </w:rPr>
        <w:fldChar w:fldCharType="separate"/>
      </w:r>
      <w:r>
        <w:rPr>
          <w:highlight w:val="none"/>
        </w:rPr>
        <w:t>1</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"_Toc65158779" </w:instrText>
      </w:r>
      <w:r>
        <w:rPr>
          <w:highlight w:val="none"/>
        </w:rPr>
        <w:fldChar w:fldCharType="separate"/>
      </w:r>
      <w:r>
        <w:rPr>
          <w:rStyle w:val="36"/>
          <w:rFonts w:ascii="黑体" w:hAnsi="黑体"/>
          <w:highlight w:val="none"/>
        </w:rPr>
        <w:t>第二章</w:t>
      </w:r>
      <w:r>
        <w:rPr>
          <w:rStyle w:val="36"/>
          <w:highlight w:val="none"/>
        </w:rPr>
        <w:t xml:space="preserve"> 供应商须知</w:t>
      </w:r>
      <w:r>
        <w:rPr>
          <w:highlight w:val="none"/>
        </w:rPr>
        <w:tab/>
      </w:r>
      <w:r>
        <w:rPr>
          <w:highlight w:val="none"/>
        </w:rPr>
        <w:fldChar w:fldCharType="begin"/>
      </w:r>
      <w:r>
        <w:rPr>
          <w:highlight w:val="none"/>
        </w:rPr>
        <w:instrText xml:space="preserve"> PAGEREF _Toc65158779 \h </w:instrText>
      </w:r>
      <w:r>
        <w:rPr>
          <w:highlight w:val="none"/>
        </w:rPr>
        <w:fldChar w:fldCharType="separate"/>
      </w:r>
      <w:r>
        <w:rPr>
          <w:highlight w:val="none"/>
        </w:rPr>
        <w:t>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"_Toc65158780" </w:instrText>
      </w:r>
      <w:r>
        <w:rPr>
          <w:highlight w:val="none"/>
        </w:rPr>
        <w:fldChar w:fldCharType="separate"/>
      </w:r>
      <w:r>
        <w:rPr>
          <w:rStyle w:val="36"/>
          <w:highlight w:val="none"/>
        </w:rPr>
        <w:t>供应商须知前附表</w:t>
      </w:r>
      <w:r>
        <w:rPr>
          <w:highlight w:val="none"/>
        </w:rPr>
        <w:tab/>
      </w:r>
      <w:r>
        <w:rPr>
          <w:highlight w:val="none"/>
        </w:rPr>
        <w:fldChar w:fldCharType="begin"/>
      </w:r>
      <w:r>
        <w:rPr>
          <w:highlight w:val="none"/>
        </w:rPr>
        <w:instrText xml:space="preserve"> PAGEREF _Toc65158780 \h </w:instrText>
      </w:r>
      <w:r>
        <w:rPr>
          <w:highlight w:val="none"/>
        </w:rPr>
        <w:fldChar w:fldCharType="separate"/>
      </w:r>
      <w:r>
        <w:rPr>
          <w:highlight w:val="none"/>
        </w:rPr>
        <w:t>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"_Toc65158781" </w:instrText>
      </w:r>
      <w:r>
        <w:rPr>
          <w:highlight w:val="none"/>
        </w:rPr>
        <w:fldChar w:fldCharType="separate"/>
      </w:r>
      <w:r>
        <w:rPr>
          <w:rStyle w:val="36"/>
          <w:highlight w:val="none"/>
        </w:rPr>
        <w:t>一、 说明</w:t>
      </w:r>
      <w:r>
        <w:rPr>
          <w:highlight w:val="none"/>
        </w:rPr>
        <w:tab/>
      </w:r>
      <w:r>
        <w:rPr>
          <w:highlight w:val="none"/>
        </w:rPr>
        <w:fldChar w:fldCharType="begin"/>
      </w:r>
      <w:r>
        <w:rPr>
          <w:highlight w:val="none"/>
        </w:rPr>
        <w:instrText xml:space="preserve"> PAGEREF _Toc65158781 \h </w:instrText>
      </w:r>
      <w:r>
        <w:rPr>
          <w:highlight w:val="none"/>
        </w:rPr>
        <w:fldChar w:fldCharType="separate"/>
      </w:r>
      <w:r>
        <w:rPr>
          <w:highlight w:val="none"/>
        </w:rPr>
        <w:t>5</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"_Toc65158782" </w:instrText>
      </w:r>
      <w:r>
        <w:rPr>
          <w:highlight w:val="none"/>
        </w:rPr>
        <w:fldChar w:fldCharType="separate"/>
      </w:r>
      <w:r>
        <w:rPr>
          <w:rStyle w:val="36"/>
          <w:highlight w:val="none"/>
        </w:rPr>
        <w:t>二、 磋商文件</w:t>
      </w:r>
      <w:r>
        <w:rPr>
          <w:highlight w:val="none"/>
        </w:rPr>
        <w:tab/>
      </w:r>
      <w:r>
        <w:rPr>
          <w:highlight w:val="none"/>
        </w:rPr>
        <w:fldChar w:fldCharType="begin"/>
      </w:r>
      <w:r>
        <w:rPr>
          <w:highlight w:val="none"/>
        </w:rPr>
        <w:instrText xml:space="preserve"> PAGEREF _Toc65158782 \h </w:instrText>
      </w:r>
      <w:r>
        <w:rPr>
          <w:highlight w:val="none"/>
        </w:rPr>
        <w:fldChar w:fldCharType="separate"/>
      </w:r>
      <w:r>
        <w:rPr>
          <w:highlight w:val="none"/>
        </w:rPr>
        <w:t>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"_Toc65158783" </w:instrText>
      </w:r>
      <w:r>
        <w:rPr>
          <w:highlight w:val="none"/>
        </w:rPr>
        <w:fldChar w:fldCharType="separate"/>
      </w:r>
      <w:r>
        <w:rPr>
          <w:rStyle w:val="36"/>
          <w:highlight w:val="none"/>
        </w:rPr>
        <w:t>三、 响应文件</w:t>
      </w:r>
      <w:r>
        <w:rPr>
          <w:highlight w:val="none"/>
        </w:rPr>
        <w:tab/>
      </w:r>
      <w:r>
        <w:rPr>
          <w:highlight w:val="none"/>
        </w:rPr>
        <w:fldChar w:fldCharType="begin"/>
      </w:r>
      <w:r>
        <w:rPr>
          <w:highlight w:val="none"/>
        </w:rPr>
        <w:instrText xml:space="preserve"> PAGEREF _Toc65158783 \h </w:instrText>
      </w:r>
      <w:r>
        <w:rPr>
          <w:highlight w:val="none"/>
        </w:rPr>
        <w:fldChar w:fldCharType="separate"/>
      </w:r>
      <w:r>
        <w:rPr>
          <w:highlight w:val="none"/>
        </w:rPr>
        <w:t>9</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"_Toc65158784" </w:instrText>
      </w:r>
      <w:r>
        <w:rPr>
          <w:highlight w:val="none"/>
        </w:rPr>
        <w:fldChar w:fldCharType="separate"/>
      </w:r>
      <w:r>
        <w:rPr>
          <w:rStyle w:val="36"/>
          <w:highlight w:val="none"/>
        </w:rPr>
        <w:t>四、 磋商与评审</w:t>
      </w:r>
      <w:r>
        <w:rPr>
          <w:highlight w:val="none"/>
        </w:rPr>
        <w:tab/>
      </w:r>
      <w:r>
        <w:rPr>
          <w:highlight w:val="none"/>
        </w:rPr>
        <w:fldChar w:fldCharType="begin"/>
      </w:r>
      <w:r>
        <w:rPr>
          <w:highlight w:val="none"/>
        </w:rPr>
        <w:instrText xml:space="preserve"> PAGEREF _Toc65158784 \h </w:instrText>
      </w:r>
      <w:r>
        <w:rPr>
          <w:highlight w:val="none"/>
        </w:rPr>
        <w:fldChar w:fldCharType="separate"/>
      </w:r>
      <w:r>
        <w:rPr>
          <w:highlight w:val="none"/>
        </w:rPr>
        <w:t>13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"_Toc65158785" </w:instrText>
      </w:r>
      <w:r>
        <w:rPr>
          <w:highlight w:val="none"/>
        </w:rPr>
        <w:fldChar w:fldCharType="separate"/>
      </w:r>
      <w:r>
        <w:rPr>
          <w:rStyle w:val="36"/>
          <w:highlight w:val="none"/>
        </w:rPr>
        <w:t>五、 信用及查询</w:t>
      </w:r>
      <w:r>
        <w:rPr>
          <w:highlight w:val="none"/>
        </w:rPr>
        <w:tab/>
      </w:r>
      <w:r>
        <w:rPr>
          <w:highlight w:val="none"/>
        </w:rPr>
        <w:fldChar w:fldCharType="begin"/>
      </w:r>
      <w:r>
        <w:rPr>
          <w:highlight w:val="none"/>
        </w:rPr>
        <w:instrText xml:space="preserve"> PAGEREF _Toc65158785 \h </w:instrText>
      </w:r>
      <w:r>
        <w:rPr>
          <w:highlight w:val="none"/>
        </w:rPr>
        <w:fldChar w:fldCharType="separate"/>
      </w:r>
      <w:r>
        <w:rPr>
          <w:highlight w:val="none"/>
        </w:rPr>
        <w:t>16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"_Toc65158786" </w:instrText>
      </w:r>
      <w:r>
        <w:rPr>
          <w:highlight w:val="none"/>
        </w:rPr>
        <w:fldChar w:fldCharType="separate"/>
      </w:r>
      <w:r>
        <w:rPr>
          <w:rStyle w:val="36"/>
          <w:highlight w:val="none"/>
        </w:rPr>
        <w:t>六、 成交与合同</w:t>
      </w:r>
      <w:r>
        <w:rPr>
          <w:highlight w:val="none"/>
        </w:rPr>
        <w:tab/>
      </w:r>
      <w:r>
        <w:rPr>
          <w:highlight w:val="none"/>
        </w:rPr>
        <w:fldChar w:fldCharType="begin"/>
      </w:r>
      <w:r>
        <w:rPr>
          <w:highlight w:val="none"/>
        </w:rPr>
        <w:instrText xml:space="preserve"> PAGEREF _Toc65158786 \h </w:instrText>
      </w:r>
      <w:r>
        <w:rPr>
          <w:highlight w:val="none"/>
        </w:rPr>
        <w:fldChar w:fldCharType="separate"/>
      </w:r>
      <w:r>
        <w:rPr>
          <w:highlight w:val="none"/>
        </w:rPr>
        <w:t>16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"_Toc65158787" </w:instrText>
      </w:r>
      <w:r>
        <w:rPr>
          <w:highlight w:val="none"/>
        </w:rPr>
        <w:fldChar w:fldCharType="separate"/>
      </w:r>
      <w:r>
        <w:rPr>
          <w:rStyle w:val="36"/>
          <w:highlight w:val="none"/>
        </w:rPr>
        <w:t>七、 公告与媒体</w:t>
      </w:r>
      <w:r>
        <w:rPr>
          <w:highlight w:val="none"/>
        </w:rPr>
        <w:tab/>
      </w:r>
      <w:r>
        <w:rPr>
          <w:highlight w:val="none"/>
        </w:rPr>
        <w:fldChar w:fldCharType="begin"/>
      </w:r>
      <w:r>
        <w:rPr>
          <w:highlight w:val="none"/>
        </w:rPr>
        <w:instrText xml:space="preserve"> PAGEREF _Toc65158787 \h </w:instrText>
      </w:r>
      <w:r>
        <w:rPr>
          <w:highlight w:val="none"/>
        </w:rPr>
        <w:fldChar w:fldCharType="separate"/>
      </w:r>
      <w:r>
        <w:rPr>
          <w:highlight w:val="none"/>
        </w:rPr>
        <w:t>18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"_Toc65158788" </w:instrText>
      </w:r>
      <w:r>
        <w:rPr>
          <w:highlight w:val="none"/>
        </w:rPr>
        <w:fldChar w:fldCharType="separate"/>
      </w:r>
      <w:r>
        <w:rPr>
          <w:rStyle w:val="36"/>
          <w:highlight w:val="none"/>
        </w:rPr>
        <w:t>八、 质疑及投诉</w:t>
      </w:r>
      <w:r>
        <w:rPr>
          <w:highlight w:val="none"/>
        </w:rPr>
        <w:tab/>
      </w:r>
      <w:r>
        <w:rPr>
          <w:highlight w:val="none"/>
        </w:rPr>
        <w:fldChar w:fldCharType="begin"/>
      </w:r>
      <w:r>
        <w:rPr>
          <w:highlight w:val="none"/>
        </w:rPr>
        <w:instrText xml:space="preserve"> PAGEREF _Toc65158788 \h </w:instrText>
      </w:r>
      <w:r>
        <w:rPr>
          <w:highlight w:val="none"/>
        </w:rPr>
        <w:fldChar w:fldCharType="separate"/>
      </w:r>
      <w:r>
        <w:rPr>
          <w:highlight w:val="none"/>
        </w:rPr>
        <w:t>18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"_Toc65158789" </w:instrText>
      </w:r>
      <w:r>
        <w:rPr>
          <w:highlight w:val="none"/>
        </w:rPr>
        <w:fldChar w:fldCharType="separate"/>
      </w:r>
      <w:r>
        <w:rPr>
          <w:rStyle w:val="36"/>
          <w:highlight w:val="none"/>
        </w:rPr>
        <w:t>九、 无效与终止</w:t>
      </w:r>
      <w:r>
        <w:rPr>
          <w:highlight w:val="none"/>
        </w:rPr>
        <w:tab/>
      </w:r>
      <w:r>
        <w:rPr>
          <w:highlight w:val="none"/>
        </w:rPr>
        <w:fldChar w:fldCharType="begin"/>
      </w:r>
      <w:r>
        <w:rPr>
          <w:highlight w:val="none"/>
        </w:rPr>
        <w:instrText xml:space="preserve"> PAGEREF _Toc65158789 \h </w:instrText>
      </w:r>
      <w:r>
        <w:rPr>
          <w:highlight w:val="none"/>
        </w:rPr>
        <w:fldChar w:fldCharType="separate"/>
      </w:r>
      <w:r>
        <w:rPr>
          <w:highlight w:val="none"/>
        </w:rPr>
        <w:t>20</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"_Toc65158790" </w:instrText>
      </w:r>
      <w:r>
        <w:rPr>
          <w:highlight w:val="none"/>
        </w:rPr>
        <w:fldChar w:fldCharType="separate"/>
      </w:r>
      <w:r>
        <w:rPr>
          <w:rStyle w:val="36"/>
          <w:highlight w:val="none"/>
        </w:rPr>
        <w:t>十、 纪律与监督</w:t>
      </w:r>
      <w:r>
        <w:rPr>
          <w:highlight w:val="none"/>
        </w:rPr>
        <w:tab/>
      </w:r>
      <w:r>
        <w:rPr>
          <w:highlight w:val="none"/>
        </w:rPr>
        <w:fldChar w:fldCharType="begin"/>
      </w:r>
      <w:r>
        <w:rPr>
          <w:highlight w:val="none"/>
        </w:rPr>
        <w:instrText xml:space="preserve"> PAGEREF _Toc65158790 \h </w:instrText>
      </w:r>
      <w:r>
        <w:rPr>
          <w:highlight w:val="none"/>
        </w:rPr>
        <w:fldChar w:fldCharType="separate"/>
      </w:r>
      <w:r>
        <w:rPr>
          <w:highlight w:val="none"/>
        </w:rPr>
        <w:t>20</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"_Toc65158791" </w:instrText>
      </w:r>
      <w:r>
        <w:rPr>
          <w:highlight w:val="none"/>
        </w:rPr>
        <w:fldChar w:fldCharType="separate"/>
      </w:r>
      <w:r>
        <w:rPr>
          <w:rStyle w:val="36"/>
          <w:highlight w:val="none"/>
        </w:rPr>
        <w:t>十一、 条文解读</w:t>
      </w:r>
      <w:r>
        <w:rPr>
          <w:highlight w:val="none"/>
        </w:rPr>
        <w:tab/>
      </w:r>
      <w:r>
        <w:rPr>
          <w:highlight w:val="none"/>
        </w:rPr>
        <w:fldChar w:fldCharType="begin"/>
      </w:r>
      <w:r>
        <w:rPr>
          <w:highlight w:val="none"/>
        </w:rPr>
        <w:instrText xml:space="preserve"> PAGEREF _Toc65158791 \h </w:instrText>
      </w:r>
      <w:r>
        <w:rPr>
          <w:highlight w:val="none"/>
        </w:rPr>
        <w:fldChar w:fldCharType="separate"/>
      </w:r>
      <w:r>
        <w:rPr>
          <w:highlight w:val="none"/>
        </w:rPr>
        <w:t>21</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"_Toc65158792" </w:instrText>
      </w:r>
      <w:r>
        <w:rPr>
          <w:highlight w:val="none"/>
        </w:rPr>
        <w:fldChar w:fldCharType="separate"/>
      </w:r>
      <w:r>
        <w:rPr>
          <w:rStyle w:val="36"/>
          <w:highlight w:val="none"/>
        </w:rPr>
        <w:t>十二、 注意事项</w:t>
      </w:r>
      <w:r>
        <w:rPr>
          <w:highlight w:val="none"/>
        </w:rPr>
        <w:tab/>
      </w:r>
      <w:r>
        <w:rPr>
          <w:highlight w:val="none"/>
        </w:rPr>
        <w:fldChar w:fldCharType="begin"/>
      </w:r>
      <w:r>
        <w:rPr>
          <w:highlight w:val="none"/>
        </w:rPr>
        <w:instrText xml:space="preserve"> PAGEREF _Toc65158792 \h </w:instrText>
      </w:r>
      <w:r>
        <w:rPr>
          <w:highlight w:val="none"/>
        </w:rPr>
        <w:fldChar w:fldCharType="separate"/>
      </w:r>
      <w:r>
        <w:rPr>
          <w:highlight w:val="none"/>
        </w:rPr>
        <w:t>22</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"_Toc65158793" </w:instrText>
      </w:r>
      <w:r>
        <w:rPr>
          <w:highlight w:val="none"/>
        </w:rPr>
        <w:fldChar w:fldCharType="separate"/>
      </w:r>
      <w:r>
        <w:rPr>
          <w:rStyle w:val="36"/>
          <w:highlight w:val="none"/>
        </w:rPr>
        <w:t>十三、 适用法律</w:t>
      </w:r>
      <w:r>
        <w:rPr>
          <w:highlight w:val="none"/>
        </w:rPr>
        <w:tab/>
      </w:r>
      <w:r>
        <w:rPr>
          <w:highlight w:val="none"/>
        </w:rPr>
        <w:fldChar w:fldCharType="begin"/>
      </w:r>
      <w:r>
        <w:rPr>
          <w:highlight w:val="none"/>
        </w:rPr>
        <w:instrText xml:space="preserve"> PAGEREF _Toc65158793 \h </w:instrText>
      </w:r>
      <w:r>
        <w:rPr>
          <w:highlight w:val="none"/>
        </w:rPr>
        <w:fldChar w:fldCharType="separate"/>
      </w:r>
      <w:r>
        <w:rPr>
          <w:highlight w:val="none"/>
        </w:rPr>
        <w:t>22</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"_Toc65158794" </w:instrText>
      </w:r>
      <w:r>
        <w:rPr>
          <w:highlight w:val="none"/>
        </w:rPr>
        <w:fldChar w:fldCharType="separate"/>
      </w:r>
      <w:r>
        <w:rPr>
          <w:rStyle w:val="36"/>
          <w:highlight w:val="none"/>
        </w:rPr>
        <w:t>十四、 解释权</w:t>
      </w:r>
      <w:r>
        <w:rPr>
          <w:highlight w:val="none"/>
        </w:rPr>
        <w:tab/>
      </w:r>
      <w:r>
        <w:rPr>
          <w:highlight w:val="none"/>
        </w:rPr>
        <w:fldChar w:fldCharType="begin"/>
      </w:r>
      <w:r>
        <w:rPr>
          <w:highlight w:val="none"/>
        </w:rPr>
        <w:instrText xml:space="preserve"> PAGEREF _Toc65158794 \h </w:instrText>
      </w:r>
      <w:r>
        <w:rPr>
          <w:highlight w:val="none"/>
        </w:rPr>
        <w:fldChar w:fldCharType="separate"/>
      </w:r>
      <w:r>
        <w:rPr>
          <w:highlight w:val="none"/>
        </w:rPr>
        <w:t>22</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"_Toc65158795" </w:instrText>
      </w:r>
      <w:r>
        <w:rPr>
          <w:highlight w:val="none"/>
        </w:rPr>
        <w:fldChar w:fldCharType="separate"/>
      </w:r>
      <w:r>
        <w:rPr>
          <w:rStyle w:val="36"/>
          <w:rFonts w:ascii="黑体" w:hAnsi="黑体"/>
          <w:highlight w:val="none"/>
        </w:rPr>
        <w:t>第三章</w:t>
      </w:r>
      <w:r>
        <w:rPr>
          <w:rStyle w:val="36"/>
          <w:highlight w:val="none"/>
        </w:rPr>
        <w:t xml:space="preserve"> 项目需求书</w:t>
      </w:r>
      <w:r>
        <w:rPr>
          <w:highlight w:val="none"/>
        </w:rPr>
        <w:tab/>
      </w:r>
      <w:r>
        <w:rPr>
          <w:highlight w:val="none"/>
        </w:rPr>
        <w:fldChar w:fldCharType="begin"/>
      </w:r>
      <w:r>
        <w:rPr>
          <w:highlight w:val="none"/>
        </w:rPr>
        <w:instrText xml:space="preserve"> PAGEREF _Toc65158795 \h </w:instrText>
      </w:r>
      <w:r>
        <w:rPr>
          <w:highlight w:val="none"/>
        </w:rPr>
        <w:fldChar w:fldCharType="separate"/>
      </w:r>
      <w:r>
        <w:rPr>
          <w:highlight w:val="none"/>
        </w:rPr>
        <w:t>23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"_Toc65158796" </w:instrText>
      </w:r>
      <w:r>
        <w:rPr>
          <w:highlight w:val="none"/>
        </w:rPr>
        <w:fldChar w:fldCharType="separate"/>
      </w:r>
      <w:r>
        <w:rPr>
          <w:rStyle w:val="36"/>
          <w:highlight w:val="none"/>
        </w:rPr>
        <w:t>一、 项目背景概述</w:t>
      </w:r>
      <w:r>
        <w:rPr>
          <w:highlight w:val="none"/>
        </w:rPr>
        <w:tab/>
      </w:r>
      <w:r>
        <w:rPr>
          <w:highlight w:val="none"/>
        </w:rPr>
        <w:fldChar w:fldCharType="begin"/>
      </w:r>
      <w:r>
        <w:rPr>
          <w:highlight w:val="none"/>
        </w:rPr>
        <w:instrText xml:space="preserve"> PAGEREF _Toc65158796 \h </w:instrText>
      </w:r>
      <w:r>
        <w:rPr>
          <w:highlight w:val="none"/>
        </w:rPr>
        <w:fldChar w:fldCharType="separate"/>
      </w:r>
      <w:r>
        <w:rPr>
          <w:highlight w:val="none"/>
        </w:rPr>
        <w:t>23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"_Toc65158797" </w:instrText>
      </w:r>
      <w:r>
        <w:rPr>
          <w:highlight w:val="none"/>
        </w:rPr>
        <w:fldChar w:fldCharType="separate"/>
      </w:r>
      <w:r>
        <w:rPr>
          <w:rStyle w:val="36"/>
          <w:highlight w:val="none"/>
        </w:rPr>
        <w:t>二、 项目采购清单</w:t>
      </w:r>
      <w:r>
        <w:rPr>
          <w:highlight w:val="none"/>
        </w:rPr>
        <w:tab/>
      </w:r>
      <w:r>
        <w:rPr>
          <w:highlight w:val="none"/>
        </w:rPr>
        <w:fldChar w:fldCharType="begin"/>
      </w:r>
      <w:r>
        <w:rPr>
          <w:highlight w:val="none"/>
        </w:rPr>
        <w:instrText xml:space="preserve"> PAGEREF _Toc65158797 \h </w:instrText>
      </w:r>
      <w:r>
        <w:rPr>
          <w:highlight w:val="none"/>
        </w:rPr>
        <w:fldChar w:fldCharType="separate"/>
      </w:r>
      <w:r>
        <w:rPr>
          <w:highlight w:val="none"/>
        </w:rPr>
        <w:t>24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"_Toc65158798" </w:instrText>
      </w:r>
      <w:r>
        <w:rPr>
          <w:highlight w:val="none"/>
        </w:rPr>
        <w:fldChar w:fldCharType="separate"/>
      </w:r>
      <w:r>
        <w:rPr>
          <w:rStyle w:val="36"/>
          <w:highlight w:val="none"/>
        </w:rPr>
        <w:t>三、 技术服务要求</w:t>
      </w:r>
      <w:r>
        <w:rPr>
          <w:highlight w:val="none"/>
        </w:rPr>
        <w:tab/>
      </w:r>
      <w:r>
        <w:rPr>
          <w:highlight w:val="none"/>
        </w:rPr>
        <w:fldChar w:fldCharType="begin"/>
      </w:r>
      <w:r>
        <w:rPr>
          <w:highlight w:val="none"/>
        </w:rPr>
        <w:instrText xml:space="preserve"> PAGEREF _Toc65158798 \h </w:instrText>
      </w:r>
      <w:r>
        <w:rPr>
          <w:highlight w:val="none"/>
        </w:rPr>
        <w:fldChar w:fldCharType="separate"/>
      </w:r>
      <w:r>
        <w:rPr>
          <w:highlight w:val="none"/>
        </w:rPr>
        <w:t>25</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"_Toc65158799" </w:instrText>
      </w:r>
      <w:r>
        <w:rPr>
          <w:highlight w:val="none"/>
        </w:rPr>
        <w:fldChar w:fldCharType="separate"/>
      </w:r>
      <w:r>
        <w:rPr>
          <w:rStyle w:val="36"/>
          <w:highlight w:val="none"/>
        </w:rPr>
        <w:t>四、 其他商务要求</w:t>
      </w:r>
      <w:r>
        <w:rPr>
          <w:highlight w:val="none"/>
        </w:rPr>
        <w:tab/>
      </w:r>
      <w:r>
        <w:rPr>
          <w:highlight w:val="none"/>
        </w:rPr>
        <w:fldChar w:fldCharType="begin"/>
      </w:r>
      <w:r>
        <w:rPr>
          <w:highlight w:val="none"/>
        </w:rPr>
        <w:instrText xml:space="preserve"> PAGEREF _Toc65158799 \h </w:instrText>
      </w:r>
      <w:r>
        <w:rPr>
          <w:highlight w:val="none"/>
        </w:rPr>
        <w:fldChar w:fldCharType="separate"/>
      </w:r>
      <w:r>
        <w:rPr>
          <w:highlight w:val="none"/>
        </w:rPr>
        <w:t>30</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"_Toc65158800" </w:instrText>
      </w:r>
      <w:r>
        <w:rPr>
          <w:highlight w:val="none"/>
        </w:rPr>
        <w:fldChar w:fldCharType="separate"/>
      </w:r>
      <w:r>
        <w:rPr>
          <w:rStyle w:val="36"/>
          <w:rFonts w:ascii="黑体" w:hAnsi="黑体"/>
          <w:highlight w:val="none"/>
        </w:rPr>
        <w:t>第四章</w:t>
      </w:r>
      <w:r>
        <w:rPr>
          <w:rStyle w:val="36"/>
          <w:highlight w:val="none"/>
        </w:rPr>
        <w:t xml:space="preserve"> 评审标准及方法</w:t>
      </w:r>
      <w:r>
        <w:rPr>
          <w:highlight w:val="none"/>
        </w:rPr>
        <w:tab/>
      </w:r>
      <w:r>
        <w:rPr>
          <w:highlight w:val="none"/>
        </w:rPr>
        <w:fldChar w:fldCharType="begin"/>
      </w:r>
      <w:r>
        <w:rPr>
          <w:highlight w:val="none"/>
        </w:rPr>
        <w:instrText xml:space="preserve"> PAGEREF _Toc65158800 \h </w:instrText>
      </w:r>
      <w:r>
        <w:rPr>
          <w:highlight w:val="none"/>
        </w:rPr>
        <w:fldChar w:fldCharType="separate"/>
      </w:r>
      <w:r>
        <w:rPr>
          <w:highlight w:val="none"/>
        </w:rPr>
        <w:t>31</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"_Toc65158801" </w:instrText>
      </w:r>
      <w:r>
        <w:rPr>
          <w:highlight w:val="none"/>
        </w:rPr>
        <w:fldChar w:fldCharType="separate"/>
      </w:r>
      <w:r>
        <w:rPr>
          <w:rStyle w:val="36"/>
          <w:highlight w:val="none"/>
        </w:rPr>
        <w:t>一、 评审方法</w:t>
      </w:r>
      <w:r>
        <w:rPr>
          <w:highlight w:val="none"/>
        </w:rPr>
        <w:tab/>
      </w:r>
      <w:r>
        <w:rPr>
          <w:highlight w:val="none"/>
        </w:rPr>
        <w:fldChar w:fldCharType="begin"/>
      </w:r>
      <w:r>
        <w:rPr>
          <w:highlight w:val="none"/>
        </w:rPr>
        <w:instrText xml:space="preserve"> PAGEREF _Toc65158801 \h </w:instrText>
      </w:r>
      <w:r>
        <w:rPr>
          <w:highlight w:val="none"/>
        </w:rPr>
        <w:fldChar w:fldCharType="separate"/>
      </w:r>
      <w:r>
        <w:rPr>
          <w:highlight w:val="none"/>
        </w:rPr>
        <w:t>31</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"_Toc65158802" </w:instrText>
      </w:r>
      <w:r>
        <w:rPr>
          <w:highlight w:val="none"/>
        </w:rPr>
        <w:fldChar w:fldCharType="separate"/>
      </w:r>
      <w:r>
        <w:rPr>
          <w:rStyle w:val="36"/>
          <w:highlight w:val="none"/>
        </w:rPr>
        <w:t>二、 评审程序</w:t>
      </w:r>
      <w:r>
        <w:rPr>
          <w:highlight w:val="none"/>
        </w:rPr>
        <w:tab/>
      </w:r>
      <w:r>
        <w:rPr>
          <w:highlight w:val="none"/>
        </w:rPr>
        <w:fldChar w:fldCharType="begin"/>
      </w:r>
      <w:r>
        <w:rPr>
          <w:highlight w:val="none"/>
        </w:rPr>
        <w:instrText xml:space="preserve"> PAGEREF _Toc65158802 \h </w:instrText>
      </w:r>
      <w:r>
        <w:rPr>
          <w:highlight w:val="none"/>
        </w:rPr>
        <w:fldChar w:fldCharType="separate"/>
      </w:r>
      <w:r>
        <w:rPr>
          <w:highlight w:val="none"/>
        </w:rPr>
        <w:t>31</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"_Toc65158803" </w:instrText>
      </w:r>
      <w:r>
        <w:rPr>
          <w:highlight w:val="none"/>
        </w:rPr>
        <w:fldChar w:fldCharType="separate"/>
      </w:r>
      <w:r>
        <w:rPr>
          <w:rStyle w:val="36"/>
          <w:highlight w:val="none"/>
        </w:rPr>
        <w:t>1. 资格性审查</w:t>
      </w:r>
      <w:r>
        <w:rPr>
          <w:highlight w:val="none"/>
        </w:rPr>
        <w:tab/>
      </w:r>
      <w:r>
        <w:rPr>
          <w:highlight w:val="none"/>
        </w:rPr>
        <w:fldChar w:fldCharType="begin"/>
      </w:r>
      <w:r>
        <w:rPr>
          <w:highlight w:val="none"/>
        </w:rPr>
        <w:instrText xml:space="preserve"> PAGEREF _Toc65158803 \h </w:instrText>
      </w:r>
      <w:r>
        <w:rPr>
          <w:highlight w:val="none"/>
        </w:rPr>
        <w:fldChar w:fldCharType="separate"/>
      </w:r>
      <w:r>
        <w:rPr>
          <w:highlight w:val="none"/>
        </w:rPr>
        <w:t>31</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"_Toc65158804" </w:instrText>
      </w:r>
      <w:r>
        <w:rPr>
          <w:highlight w:val="none"/>
        </w:rPr>
        <w:fldChar w:fldCharType="separate"/>
      </w:r>
      <w:r>
        <w:rPr>
          <w:rStyle w:val="36"/>
          <w:highlight w:val="none"/>
        </w:rPr>
        <w:t>2. 符合性审查</w:t>
      </w:r>
      <w:r>
        <w:rPr>
          <w:highlight w:val="none"/>
        </w:rPr>
        <w:tab/>
      </w:r>
      <w:r>
        <w:rPr>
          <w:highlight w:val="none"/>
        </w:rPr>
        <w:fldChar w:fldCharType="begin"/>
      </w:r>
      <w:r>
        <w:rPr>
          <w:highlight w:val="none"/>
        </w:rPr>
        <w:instrText xml:space="preserve"> PAGEREF _Toc65158804 \h </w:instrText>
      </w:r>
      <w:r>
        <w:rPr>
          <w:highlight w:val="none"/>
        </w:rPr>
        <w:fldChar w:fldCharType="separate"/>
      </w:r>
      <w:r>
        <w:rPr>
          <w:highlight w:val="none"/>
        </w:rPr>
        <w:t>33</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"_Toc65158805" </w:instrText>
      </w:r>
      <w:r>
        <w:rPr>
          <w:highlight w:val="none"/>
        </w:rPr>
        <w:fldChar w:fldCharType="separate"/>
      </w:r>
      <w:r>
        <w:rPr>
          <w:rStyle w:val="36"/>
          <w:highlight w:val="none"/>
        </w:rPr>
        <w:t>3. 磋商及报价</w:t>
      </w:r>
      <w:r>
        <w:rPr>
          <w:highlight w:val="none"/>
        </w:rPr>
        <w:tab/>
      </w:r>
      <w:r>
        <w:rPr>
          <w:highlight w:val="none"/>
        </w:rPr>
        <w:fldChar w:fldCharType="begin"/>
      </w:r>
      <w:r>
        <w:rPr>
          <w:highlight w:val="none"/>
        </w:rPr>
        <w:instrText xml:space="preserve"> PAGEREF _Toc65158805 \h </w:instrText>
      </w:r>
      <w:r>
        <w:rPr>
          <w:highlight w:val="none"/>
        </w:rPr>
        <w:fldChar w:fldCharType="separate"/>
      </w:r>
      <w:r>
        <w:rPr>
          <w:highlight w:val="none"/>
        </w:rPr>
        <w:t>34</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"_Toc65158806" </w:instrText>
      </w:r>
      <w:r>
        <w:rPr>
          <w:highlight w:val="none"/>
        </w:rPr>
        <w:fldChar w:fldCharType="separate"/>
      </w:r>
      <w:r>
        <w:rPr>
          <w:rStyle w:val="36"/>
          <w:highlight w:val="none"/>
        </w:rPr>
        <w:t>4. 综合评比</w:t>
      </w:r>
      <w:r>
        <w:rPr>
          <w:highlight w:val="none"/>
        </w:rPr>
        <w:tab/>
      </w:r>
      <w:r>
        <w:rPr>
          <w:highlight w:val="none"/>
        </w:rPr>
        <w:fldChar w:fldCharType="begin"/>
      </w:r>
      <w:r>
        <w:rPr>
          <w:highlight w:val="none"/>
        </w:rPr>
        <w:instrText xml:space="preserve"> PAGEREF _Toc65158806 \h </w:instrText>
      </w:r>
      <w:r>
        <w:rPr>
          <w:highlight w:val="none"/>
        </w:rPr>
        <w:fldChar w:fldCharType="separate"/>
      </w:r>
      <w:r>
        <w:rPr>
          <w:highlight w:val="none"/>
        </w:rPr>
        <w:t>35</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"_Toc65158807" </w:instrText>
      </w:r>
      <w:r>
        <w:rPr>
          <w:highlight w:val="none"/>
        </w:rPr>
        <w:fldChar w:fldCharType="separate"/>
      </w:r>
      <w:r>
        <w:rPr>
          <w:rStyle w:val="36"/>
          <w:highlight w:val="none"/>
        </w:rPr>
        <w:t>5. 确定名单</w:t>
      </w:r>
      <w:r>
        <w:rPr>
          <w:highlight w:val="none"/>
        </w:rPr>
        <w:tab/>
      </w:r>
      <w:r>
        <w:rPr>
          <w:highlight w:val="none"/>
        </w:rPr>
        <w:fldChar w:fldCharType="begin"/>
      </w:r>
      <w:r>
        <w:rPr>
          <w:highlight w:val="none"/>
        </w:rPr>
        <w:instrText xml:space="preserve"> PAGEREF _Toc65158807 \h </w:instrText>
      </w:r>
      <w:r>
        <w:rPr>
          <w:highlight w:val="none"/>
        </w:rPr>
        <w:fldChar w:fldCharType="separate"/>
      </w:r>
      <w:r>
        <w:rPr>
          <w:highlight w:val="none"/>
        </w:rPr>
        <w:t>36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"_Toc65158808" </w:instrText>
      </w:r>
      <w:r>
        <w:rPr>
          <w:highlight w:val="none"/>
        </w:rPr>
        <w:fldChar w:fldCharType="separate"/>
      </w:r>
      <w:r>
        <w:rPr>
          <w:rStyle w:val="36"/>
          <w:highlight w:val="none"/>
        </w:rPr>
        <w:t>三、 评审标准</w:t>
      </w:r>
      <w:r>
        <w:rPr>
          <w:highlight w:val="none"/>
        </w:rPr>
        <w:tab/>
      </w:r>
      <w:r>
        <w:rPr>
          <w:highlight w:val="none"/>
        </w:rPr>
        <w:fldChar w:fldCharType="begin"/>
      </w:r>
      <w:r>
        <w:rPr>
          <w:highlight w:val="none"/>
        </w:rPr>
        <w:instrText xml:space="preserve"> PAGEREF _Toc65158808 \h </w:instrText>
      </w:r>
      <w:r>
        <w:rPr>
          <w:highlight w:val="none"/>
        </w:rPr>
        <w:fldChar w:fldCharType="separate"/>
      </w:r>
      <w:r>
        <w:rPr>
          <w:highlight w:val="none"/>
        </w:rPr>
        <w:t>37</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"_Toc65158809" </w:instrText>
      </w:r>
      <w:r>
        <w:rPr>
          <w:highlight w:val="none"/>
        </w:rPr>
        <w:fldChar w:fldCharType="separate"/>
      </w:r>
      <w:r>
        <w:rPr>
          <w:rStyle w:val="36"/>
          <w:rFonts w:ascii="黑体" w:hAnsi="黑体"/>
          <w:highlight w:val="none"/>
        </w:rPr>
        <w:t>第五章</w:t>
      </w:r>
      <w:r>
        <w:rPr>
          <w:rStyle w:val="36"/>
          <w:highlight w:val="none"/>
        </w:rPr>
        <w:t xml:space="preserve"> 合同书格式</w:t>
      </w:r>
      <w:r>
        <w:rPr>
          <w:highlight w:val="none"/>
        </w:rPr>
        <w:tab/>
      </w:r>
      <w:r>
        <w:rPr>
          <w:highlight w:val="none"/>
        </w:rPr>
        <w:fldChar w:fldCharType="begin"/>
      </w:r>
      <w:r>
        <w:rPr>
          <w:highlight w:val="none"/>
        </w:rPr>
        <w:instrText xml:space="preserve"> PAGEREF _Toc65158809 \h </w:instrText>
      </w:r>
      <w:r>
        <w:rPr>
          <w:highlight w:val="none"/>
        </w:rPr>
        <w:fldChar w:fldCharType="separate"/>
      </w:r>
      <w:r>
        <w:rPr>
          <w:highlight w:val="none"/>
        </w:rPr>
        <w:t>39</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"_Toc65158810" </w:instrText>
      </w:r>
      <w:r>
        <w:rPr>
          <w:highlight w:val="none"/>
        </w:rPr>
        <w:fldChar w:fldCharType="separate"/>
      </w:r>
      <w:r>
        <w:rPr>
          <w:rStyle w:val="36"/>
          <w:rFonts w:ascii="黑体" w:hAnsi="黑体"/>
          <w:highlight w:val="none"/>
        </w:rPr>
        <w:t>第六章</w:t>
      </w:r>
      <w:r>
        <w:rPr>
          <w:rStyle w:val="36"/>
          <w:highlight w:val="none"/>
        </w:rPr>
        <w:t xml:space="preserve"> 响应文件格式</w:t>
      </w:r>
      <w:r>
        <w:rPr>
          <w:highlight w:val="none"/>
        </w:rPr>
        <w:tab/>
      </w:r>
      <w:r>
        <w:rPr>
          <w:highlight w:val="none"/>
        </w:rPr>
        <w:fldChar w:fldCharType="begin"/>
      </w:r>
      <w:r>
        <w:rPr>
          <w:highlight w:val="none"/>
        </w:rPr>
        <w:instrText xml:space="preserve"> PAGEREF _Toc65158810 \h </w:instrText>
      </w:r>
      <w:r>
        <w:rPr>
          <w:highlight w:val="none"/>
        </w:rPr>
        <w:fldChar w:fldCharType="separate"/>
      </w:r>
      <w:r>
        <w:rPr>
          <w:highlight w:val="none"/>
        </w:rPr>
        <w:t>42</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"_Toc65158811" </w:instrText>
      </w:r>
      <w:r>
        <w:rPr>
          <w:highlight w:val="none"/>
        </w:rPr>
        <w:fldChar w:fldCharType="separate"/>
      </w:r>
      <w:r>
        <w:rPr>
          <w:rStyle w:val="36"/>
          <w:highlight w:val="none"/>
        </w:rPr>
        <w:t>响应文件封面</w:t>
      </w:r>
      <w:r>
        <w:rPr>
          <w:highlight w:val="none"/>
        </w:rPr>
        <w:tab/>
      </w:r>
      <w:r>
        <w:rPr>
          <w:highlight w:val="none"/>
        </w:rPr>
        <w:fldChar w:fldCharType="begin"/>
      </w:r>
      <w:r>
        <w:rPr>
          <w:highlight w:val="none"/>
        </w:rPr>
        <w:instrText xml:space="preserve"> PAGEREF _Toc65158811 \h </w:instrText>
      </w:r>
      <w:r>
        <w:rPr>
          <w:highlight w:val="none"/>
        </w:rPr>
        <w:fldChar w:fldCharType="separate"/>
      </w:r>
      <w:r>
        <w:rPr>
          <w:highlight w:val="none"/>
        </w:rPr>
        <w:t>42</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"_Toc65158812" </w:instrText>
      </w:r>
      <w:r>
        <w:rPr>
          <w:highlight w:val="none"/>
        </w:rPr>
        <w:fldChar w:fldCharType="separate"/>
      </w:r>
      <w:r>
        <w:rPr>
          <w:rStyle w:val="36"/>
          <w:highlight w:val="none"/>
        </w:rPr>
        <w:t>一、 磋商函</w:t>
      </w:r>
      <w:r>
        <w:rPr>
          <w:highlight w:val="none"/>
        </w:rPr>
        <w:tab/>
      </w:r>
      <w:r>
        <w:rPr>
          <w:highlight w:val="none"/>
        </w:rPr>
        <w:fldChar w:fldCharType="begin"/>
      </w:r>
      <w:r>
        <w:rPr>
          <w:highlight w:val="none"/>
        </w:rPr>
        <w:instrText xml:space="preserve"> PAGEREF _Toc65158812 \h </w:instrText>
      </w:r>
      <w:r>
        <w:rPr>
          <w:highlight w:val="none"/>
        </w:rPr>
        <w:fldChar w:fldCharType="separate"/>
      </w:r>
      <w:r>
        <w:rPr>
          <w:highlight w:val="none"/>
        </w:rPr>
        <w:t>43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"_Toc65158813" </w:instrText>
      </w:r>
      <w:r>
        <w:rPr>
          <w:highlight w:val="none"/>
        </w:rPr>
        <w:fldChar w:fldCharType="separate"/>
      </w:r>
      <w:r>
        <w:rPr>
          <w:rStyle w:val="36"/>
          <w:highlight w:val="none"/>
        </w:rPr>
        <w:t>二、 报价一览表</w:t>
      </w:r>
      <w:r>
        <w:rPr>
          <w:highlight w:val="none"/>
        </w:rPr>
        <w:tab/>
      </w:r>
      <w:r>
        <w:rPr>
          <w:highlight w:val="none"/>
        </w:rPr>
        <w:fldChar w:fldCharType="begin"/>
      </w:r>
      <w:r>
        <w:rPr>
          <w:highlight w:val="none"/>
        </w:rPr>
        <w:instrText xml:space="preserve"> PAGEREF _Toc65158813 \h </w:instrText>
      </w:r>
      <w:r>
        <w:rPr>
          <w:highlight w:val="none"/>
        </w:rPr>
        <w:fldChar w:fldCharType="separate"/>
      </w:r>
      <w:r>
        <w:rPr>
          <w:highlight w:val="none"/>
        </w:rPr>
        <w:t>44</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"_Toc65158814" </w:instrText>
      </w:r>
      <w:r>
        <w:rPr>
          <w:highlight w:val="none"/>
        </w:rPr>
        <w:fldChar w:fldCharType="separate"/>
      </w:r>
      <w:r>
        <w:rPr>
          <w:rStyle w:val="36"/>
          <w:highlight w:val="none"/>
        </w:rPr>
        <w:t>三、 报价明细表</w:t>
      </w:r>
      <w:r>
        <w:rPr>
          <w:highlight w:val="none"/>
        </w:rPr>
        <w:tab/>
      </w:r>
      <w:r>
        <w:rPr>
          <w:highlight w:val="none"/>
        </w:rPr>
        <w:fldChar w:fldCharType="begin"/>
      </w:r>
      <w:r>
        <w:rPr>
          <w:highlight w:val="none"/>
        </w:rPr>
        <w:instrText xml:space="preserve"> PAGEREF _Toc65158814 \h </w:instrText>
      </w:r>
      <w:r>
        <w:rPr>
          <w:highlight w:val="none"/>
        </w:rPr>
        <w:fldChar w:fldCharType="separate"/>
      </w:r>
      <w:r>
        <w:rPr>
          <w:highlight w:val="none"/>
        </w:rPr>
        <w:t>45</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"_Toc65158815" </w:instrText>
      </w:r>
      <w:r>
        <w:rPr>
          <w:highlight w:val="none"/>
        </w:rPr>
        <w:fldChar w:fldCharType="separate"/>
      </w:r>
      <w:r>
        <w:rPr>
          <w:rStyle w:val="36"/>
          <w:highlight w:val="none"/>
        </w:rPr>
        <w:t>四、 法定代表人身份证明书</w:t>
      </w:r>
      <w:r>
        <w:rPr>
          <w:highlight w:val="none"/>
        </w:rPr>
        <w:tab/>
      </w:r>
      <w:r>
        <w:rPr>
          <w:highlight w:val="none"/>
        </w:rPr>
        <w:fldChar w:fldCharType="begin"/>
      </w:r>
      <w:r>
        <w:rPr>
          <w:highlight w:val="none"/>
        </w:rPr>
        <w:instrText xml:space="preserve"> PAGEREF _Toc65158815 \h </w:instrText>
      </w:r>
      <w:r>
        <w:rPr>
          <w:highlight w:val="none"/>
        </w:rPr>
        <w:fldChar w:fldCharType="separate"/>
      </w:r>
      <w:r>
        <w:rPr>
          <w:highlight w:val="none"/>
        </w:rPr>
        <w:t>46</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"_Toc65158816" </w:instrText>
      </w:r>
      <w:r>
        <w:rPr>
          <w:highlight w:val="none"/>
        </w:rPr>
        <w:fldChar w:fldCharType="separate"/>
      </w:r>
      <w:r>
        <w:rPr>
          <w:rStyle w:val="36"/>
          <w:highlight w:val="none"/>
        </w:rPr>
        <w:t>五、 法定代表人授权委托书</w:t>
      </w:r>
      <w:r>
        <w:rPr>
          <w:highlight w:val="none"/>
        </w:rPr>
        <w:tab/>
      </w:r>
      <w:r>
        <w:rPr>
          <w:highlight w:val="none"/>
        </w:rPr>
        <w:fldChar w:fldCharType="begin"/>
      </w:r>
      <w:r>
        <w:rPr>
          <w:highlight w:val="none"/>
        </w:rPr>
        <w:instrText xml:space="preserve"> PAGEREF _Toc65158816 \h </w:instrText>
      </w:r>
      <w:r>
        <w:rPr>
          <w:highlight w:val="none"/>
        </w:rPr>
        <w:fldChar w:fldCharType="separate"/>
      </w:r>
      <w:r>
        <w:rPr>
          <w:highlight w:val="none"/>
        </w:rPr>
        <w:t>47</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"_Toc65158817" </w:instrText>
      </w:r>
      <w:r>
        <w:rPr>
          <w:highlight w:val="none"/>
        </w:rPr>
        <w:fldChar w:fldCharType="separate"/>
      </w:r>
      <w:r>
        <w:rPr>
          <w:rStyle w:val="36"/>
          <w:highlight w:val="none"/>
        </w:rPr>
        <w:t>六、 商务响应偏离表</w:t>
      </w:r>
      <w:r>
        <w:rPr>
          <w:highlight w:val="none"/>
        </w:rPr>
        <w:tab/>
      </w:r>
      <w:r>
        <w:rPr>
          <w:highlight w:val="none"/>
        </w:rPr>
        <w:fldChar w:fldCharType="begin"/>
      </w:r>
      <w:r>
        <w:rPr>
          <w:highlight w:val="none"/>
        </w:rPr>
        <w:instrText xml:space="preserve"> PAGEREF _Toc65158817 \h </w:instrText>
      </w:r>
      <w:r>
        <w:rPr>
          <w:highlight w:val="none"/>
        </w:rPr>
        <w:fldChar w:fldCharType="separate"/>
      </w:r>
      <w:r>
        <w:rPr>
          <w:highlight w:val="none"/>
        </w:rPr>
        <w:t>48</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"_Toc65158818" </w:instrText>
      </w:r>
      <w:r>
        <w:rPr>
          <w:highlight w:val="none"/>
        </w:rPr>
        <w:fldChar w:fldCharType="separate"/>
      </w:r>
      <w:r>
        <w:rPr>
          <w:rStyle w:val="36"/>
          <w:highlight w:val="none"/>
        </w:rPr>
        <w:t>七、 技术响应偏离表</w:t>
      </w:r>
      <w:r>
        <w:rPr>
          <w:highlight w:val="none"/>
        </w:rPr>
        <w:tab/>
      </w:r>
      <w:r>
        <w:rPr>
          <w:highlight w:val="none"/>
        </w:rPr>
        <w:fldChar w:fldCharType="begin"/>
      </w:r>
      <w:r>
        <w:rPr>
          <w:highlight w:val="none"/>
        </w:rPr>
        <w:instrText xml:space="preserve"> PAGEREF _Toc65158818 \h </w:instrText>
      </w:r>
      <w:r>
        <w:rPr>
          <w:highlight w:val="none"/>
        </w:rPr>
        <w:fldChar w:fldCharType="separate"/>
      </w:r>
      <w:r>
        <w:rPr>
          <w:highlight w:val="none"/>
        </w:rPr>
        <w:t>49</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"_Toc65158819" </w:instrText>
      </w:r>
      <w:r>
        <w:rPr>
          <w:highlight w:val="none"/>
        </w:rPr>
        <w:fldChar w:fldCharType="separate"/>
      </w:r>
      <w:r>
        <w:rPr>
          <w:rStyle w:val="36"/>
          <w:highlight w:val="none"/>
        </w:rPr>
        <w:t>八、 商务证明文件</w:t>
      </w:r>
      <w:r>
        <w:rPr>
          <w:highlight w:val="none"/>
        </w:rPr>
        <w:tab/>
      </w:r>
      <w:r>
        <w:rPr>
          <w:highlight w:val="none"/>
        </w:rPr>
        <w:fldChar w:fldCharType="begin"/>
      </w:r>
      <w:r>
        <w:rPr>
          <w:highlight w:val="none"/>
        </w:rPr>
        <w:instrText xml:space="preserve"> PAGEREF _Toc65158819 \h </w:instrText>
      </w:r>
      <w:r>
        <w:rPr>
          <w:highlight w:val="none"/>
        </w:rPr>
        <w:fldChar w:fldCharType="separate"/>
      </w:r>
      <w:r>
        <w:rPr>
          <w:highlight w:val="none"/>
        </w:rPr>
        <w:t>50</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"_Toc65158820" </w:instrText>
      </w:r>
      <w:r>
        <w:rPr>
          <w:highlight w:val="none"/>
        </w:rPr>
        <w:fldChar w:fldCharType="separate"/>
      </w:r>
      <w:r>
        <w:rPr>
          <w:rStyle w:val="36"/>
          <w:highlight w:val="none"/>
        </w:rPr>
        <w:t>1. 商业信誉承诺函</w:t>
      </w:r>
      <w:r>
        <w:rPr>
          <w:highlight w:val="none"/>
        </w:rPr>
        <w:tab/>
      </w:r>
      <w:r>
        <w:rPr>
          <w:highlight w:val="none"/>
        </w:rPr>
        <w:fldChar w:fldCharType="begin"/>
      </w:r>
      <w:r>
        <w:rPr>
          <w:highlight w:val="none"/>
        </w:rPr>
        <w:instrText xml:space="preserve"> PAGEREF _Toc65158820 \h </w:instrText>
      </w:r>
      <w:r>
        <w:rPr>
          <w:highlight w:val="none"/>
        </w:rPr>
        <w:fldChar w:fldCharType="separate"/>
      </w:r>
      <w:r>
        <w:rPr>
          <w:highlight w:val="none"/>
        </w:rPr>
        <w:t>51</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"_Toc65158821" </w:instrText>
      </w:r>
      <w:r>
        <w:rPr>
          <w:highlight w:val="none"/>
        </w:rPr>
        <w:fldChar w:fldCharType="separate"/>
      </w:r>
      <w:r>
        <w:rPr>
          <w:rStyle w:val="36"/>
          <w:highlight w:val="none"/>
        </w:rPr>
        <w:t>2. 无重大违法记录声明函</w:t>
      </w:r>
      <w:r>
        <w:rPr>
          <w:highlight w:val="none"/>
        </w:rPr>
        <w:tab/>
      </w:r>
      <w:r>
        <w:rPr>
          <w:highlight w:val="none"/>
        </w:rPr>
        <w:fldChar w:fldCharType="begin"/>
      </w:r>
      <w:r>
        <w:rPr>
          <w:highlight w:val="none"/>
        </w:rPr>
        <w:instrText xml:space="preserve"> PAGEREF _Toc65158821 \h </w:instrText>
      </w:r>
      <w:r>
        <w:rPr>
          <w:highlight w:val="none"/>
        </w:rPr>
        <w:fldChar w:fldCharType="separate"/>
      </w:r>
      <w:r>
        <w:rPr>
          <w:highlight w:val="none"/>
        </w:rPr>
        <w:t>52</w:t>
      </w:r>
      <w:r>
        <w:rPr>
          <w:highlight w:val="none"/>
        </w:rPr>
        <w:fldChar w:fldCharType="end"/>
      </w:r>
      <w:r>
        <w:rPr>
          <w:highlight w:val="none"/>
        </w:rPr>
        <w:fldChar w:fldCharType="end"/>
      </w:r>
    </w:p>
    <w:p>
      <w:pPr>
        <w:pStyle w:val="18"/>
        <w:rPr>
          <w:rFonts w:cstheme="minorBidi"/>
          <w:kern w:val="2"/>
          <w:sz w:val="21"/>
          <w:highlight w:val="none"/>
        </w:rPr>
      </w:pPr>
      <w:r>
        <w:rPr>
          <w:highlight w:val="none"/>
        </w:rPr>
        <w:fldChar w:fldCharType="begin"/>
      </w:r>
      <w:r>
        <w:rPr>
          <w:highlight w:val="none"/>
        </w:rPr>
        <w:instrText xml:space="preserve"> HYPERLINK \l "_Toc65158822" </w:instrText>
      </w:r>
      <w:r>
        <w:rPr>
          <w:highlight w:val="none"/>
        </w:rPr>
        <w:fldChar w:fldCharType="separate"/>
      </w:r>
      <w:r>
        <w:rPr>
          <w:rStyle w:val="36"/>
          <w:highlight w:val="none"/>
        </w:rPr>
        <w:t>3. 非联合体磋商声明函</w:t>
      </w:r>
      <w:r>
        <w:rPr>
          <w:highlight w:val="none"/>
        </w:rPr>
        <w:tab/>
      </w:r>
      <w:r>
        <w:rPr>
          <w:highlight w:val="none"/>
        </w:rPr>
        <w:fldChar w:fldCharType="begin"/>
      </w:r>
      <w:r>
        <w:rPr>
          <w:highlight w:val="none"/>
        </w:rPr>
        <w:instrText xml:space="preserve"> PAGEREF _Toc65158822 \h </w:instrText>
      </w:r>
      <w:r>
        <w:rPr>
          <w:highlight w:val="none"/>
        </w:rPr>
        <w:fldChar w:fldCharType="separate"/>
      </w:r>
      <w:r>
        <w:rPr>
          <w:highlight w:val="none"/>
        </w:rPr>
        <w:t>53</w:t>
      </w:r>
      <w:r>
        <w:rPr>
          <w:highlight w:val="none"/>
        </w:rPr>
        <w:fldChar w:fldCharType="end"/>
      </w:r>
      <w:r>
        <w:rPr>
          <w:highlight w:val="none"/>
        </w:rPr>
        <w:fldChar w:fldCharType="end"/>
      </w:r>
    </w:p>
    <w:p>
      <w:pPr>
        <w:pStyle w:val="28"/>
        <w:ind w:left="420"/>
        <w:rPr>
          <w:rFonts w:cstheme="minorBidi"/>
          <w:kern w:val="2"/>
          <w:sz w:val="21"/>
          <w:highlight w:val="none"/>
        </w:rPr>
      </w:pPr>
      <w:r>
        <w:rPr>
          <w:highlight w:val="none"/>
        </w:rPr>
        <w:fldChar w:fldCharType="begin"/>
      </w:r>
      <w:r>
        <w:rPr>
          <w:highlight w:val="none"/>
        </w:rPr>
        <w:instrText xml:space="preserve"> HYPERLINK \l "_Toc65158823" </w:instrText>
      </w:r>
      <w:r>
        <w:rPr>
          <w:highlight w:val="none"/>
        </w:rPr>
        <w:fldChar w:fldCharType="separate"/>
      </w:r>
      <w:r>
        <w:rPr>
          <w:rStyle w:val="36"/>
          <w:highlight w:val="none"/>
        </w:rPr>
        <w:t>九、 技术服务文件</w:t>
      </w:r>
      <w:r>
        <w:rPr>
          <w:highlight w:val="none"/>
        </w:rPr>
        <w:tab/>
      </w:r>
      <w:r>
        <w:rPr>
          <w:highlight w:val="none"/>
        </w:rPr>
        <w:fldChar w:fldCharType="begin"/>
      </w:r>
      <w:r>
        <w:rPr>
          <w:highlight w:val="none"/>
        </w:rPr>
        <w:instrText xml:space="preserve"> PAGEREF _Toc65158823 \h </w:instrText>
      </w:r>
      <w:r>
        <w:rPr>
          <w:highlight w:val="none"/>
        </w:rPr>
        <w:fldChar w:fldCharType="separate"/>
      </w:r>
      <w:r>
        <w:rPr>
          <w:highlight w:val="none"/>
        </w:rPr>
        <w:t>54</w:t>
      </w:r>
      <w:r>
        <w:rPr>
          <w:highlight w:val="none"/>
        </w:rPr>
        <w:fldChar w:fldCharType="end"/>
      </w:r>
      <w:r>
        <w:rPr>
          <w:highlight w:val="none"/>
        </w:rPr>
        <w:fldChar w:fldCharType="end"/>
      </w:r>
    </w:p>
    <w:p>
      <w:pPr>
        <w:pStyle w:val="25"/>
        <w:rPr>
          <w:rFonts w:cstheme="minorBidi"/>
          <w:b w:val="0"/>
          <w:kern w:val="2"/>
          <w:sz w:val="21"/>
          <w:highlight w:val="none"/>
        </w:rPr>
      </w:pPr>
      <w:r>
        <w:rPr>
          <w:highlight w:val="none"/>
        </w:rPr>
        <w:fldChar w:fldCharType="begin"/>
      </w:r>
      <w:r>
        <w:rPr>
          <w:highlight w:val="none"/>
        </w:rPr>
        <w:instrText xml:space="preserve"> HYPERLINK \l "_Toc65158824" </w:instrText>
      </w:r>
      <w:r>
        <w:rPr>
          <w:highlight w:val="none"/>
        </w:rPr>
        <w:fldChar w:fldCharType="separate"/>
      </w:r>
      <w:r>
        <w:rPr>
          <w:rStyle w:val="36"/>
          <w:rFonts w:ascii="黑体" w:hAnsi="黑体"/>
          <w:highlight w:val="none"/>
        </w:rPr>
        <w:t>第七章</w:t>
      </w:r>
      <w:r>
        <w:rPr>
          <w:rStyle w:val="36"/>
          <w:highlight w:val="none"/>
        </w:rPr>
        <w:t xml:space="preserve"> 相关附件及要求</w:t>
      </w:r>
      <w:r>
        <w:rPr>
          <w:highlight w:val="none"/>
        </w:rPr>
        <w:tab/>
      </w:r>
      <w:r>
        <w:rPr>
          <w:highlight w:val="none"/>
        </w:rPr>
        <w:fldChar w:fldCharType="begin"/>
      </w:r>
      <w:r>
        <w:rPr>
          <w:highlight w:val="none"/>
        </w:rPr>
        <w:instrText xml:space="preserve"> PAGEREF _Toc65158824 \h </w:instrText>
      </w:r>
      <w:r>
        <w:rPr>
          <w:highlight w:val="none"/>
        </w:rPr>
        <w:fldChar w:fldCharType="separate"/>
      </w:r>
      <w:r>
        <w:rPr>
          <w:highlight w:val="none"/>
        </w:rPr>
        <w:t>55</w:t>
      </w:r>
      <w:r>
        <w:rPr>
          <w:highlight w:val="none"/>
        </w:rPr>
        <w:fldChar w:fldCharType="end"/>
      </w:r>
      <w:r>
        <w:rPr>
          <w:highlight w:val="none"/>
        </w:rPr>
        <w:fldChar w:fldCharType="end"/>
      </w:r>
    </w:p>
    <w:p>
      <w:pPr>
        <w:spacing w:line="400" w:lineRule="exact"/>
        <w:rPr>
          <w:rFonts w:cs="Times New Roman"/>
          <w:kern w:val="0"/>
          <w:sz w:val="24"/>
          <w:highlight w:val="none"/>
        </w:rPr>
        <w:sectPr>
          <w:footerReference r:id="rId3" w:type="default"/>
          <w:pgSz w:w="11907" w:h="16840"/>
          <w:pgMar w:top="1418" w:right="1418" w:bottom="1418" w:left="1588" w:header="851" w:footer="992" w:gutter="0"/>
          <w:pgNumType w:fmt="upperRoman" w:start="1"/>
          <w:cols w:space="425" w:num="1"/>
          <w:docGrid w:linePitch="312" w:charSpace="0"/>
        </w:sectPr>
      </w:pPr>
      <w:r>
        <w:rPr>
          <w:rFonts w:cs="Times New Roman"/>
          <w:kern w:val="0"/>
          <w:sz w:val="24"/>
          <w:highlight w:val="none"/>
        </w:rPr>
        <w:fldChar w:fldCharType="end"/>
      </w:r>
    </w:p>
    <w:p>
      <w:pPr>
        <w:pStyle w:val="3"/>
        <w:jc w:val="center"/>
        <w:rPr>
          <w:sz w:val="36"/>
          <w:szCs w:val="36"/>
          <w:highlight w:val="none"/>
        </w:rPr>
      </w:pPr>
      <w:bookmarkStart w:id="3" w:name="_Toc65158778"/>
      <w:bookmarkStart w:id="4" w:name="_Toc2782562"/>
      <w:bookmarkStart w:id="5" w:name="_Toc38457786"/>
      <w:bookmarkStart w:id="6" w:name="_Toc511894492"/>
      <w:bookmarkStart w:id="7" w:name="_Toc511889414"/>
      <w:bookmarkStart w:id="8" w:name="_Toc440620494"/>
      <w:r>
        <w:rPr>
          <w:rFonts w:hint="eastAsia"/>
          <w:sz w:val="36"/>
          <w:szCs w:val="36"/>
          <w:highlight w:val="none"/>
        </w:rPr>
        <w:t>竞争性磋商公告</w:t>
      </w:r>
      <w:bookmarkEnd w:id="3"/>
      <w:bookmarkEnd w:id="4"/>
      <w:bookmarkEnd w:id="5"/>
      <w:bookmarkEnd w:id="6"/>
      <w:bookmarkEnd w:id="7"/>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pacing w:line="360" w:lineRule="auto"/>
              <w:rPr>
                <w:rFonts w:ascii="宋体" w:hAnsi="宋体"/>
                <w:sz w:val="24"/>
                <w:szCs w:val="24"/>
                <w:highlight w:val="none"/>
              </w:rPr>
            </w:pPr>
            <w:r>
              <w:rPr>
                <w:rFonts w:hint="eastAsia" w:ascii="宋体" w:hAnsi="宋体"/>
                <w:sz w:val="24"/>
                <w:szCs w:val="24"/>
                <w:highlight w:val="none"/>
              </w:rPr>
              <w:t>项目概况</w:t>
            </w:r>
          </w:p>
          <w:p>
            <w:pPr>
              <w:spacing w:line="360" w:lineRule="auto"/>
              <w:ind w:firstLine="482" w:firstLineChars="200"/>
              <w:rPr>
                <w:rFonts w:ascii="宋体" w:hAnsi="宋体"/>
                <w:sz w:val="24"/>
                <w:szCs w:val="24"/>
                <w:highlight w:val="none"/>
              </w:rPr>
            </w:pPr>
            <w:r>
              <w:rPr>
                <w:rFonts w:hint="eastAsia" w:ascii="宋体" w:hAnsi="宋体"/>
                <w:b/>
                <w:bCs/>
                <w:sz w:val="24"/>
                <w:szCs w:val="24"/>
                <w:highlight w:val="none"/>
                <w:u w:val="single"/>
              </w:rPr>
              <w:t>湖北科技学院新增</w:t>
            </w:r>
            <w:r>
              <w:rPr>
                <w:rFonts w:hint="eastAsia" w:ascii="宋体" w:hAnsi="宋体"/>
                <w:b/>
                <w:bCs/>
                <w:sz w:val="24"/>
                <w:szCs w:val="24"/>
                <w:highlight w:val="none"/>
                <w:u w:val="single"/>
                <w:lang w:eastAsia="zh-CN"/>
              </w:rPr>
              <w:t>视频</w:t>
            </w:r>
            <w:r>
              <w:rPr>
                <w:rFonts w:hint="eastAsia" w:ascii="宋体" w:hAnsi="宋体"/>
                <w:b/>
                <w:bCs/>
                <w:sz w:val="24"/>
                <w:szCs w:val="24"/>
                <w:highlight w:val="none"/>
                <w:u w:val="single"/>
              </w:rPr>
              <w:t>监控摄像头及维护采购项目</w:t>
            </w:r>
            <w:r>
              <w:rPr>
                <w:rFonts w:hint="eastAsia" w:ascii="宋体" w:hAnsi="宋体"/>
                <w:sz w:val="24"/>
                <w:szCs w:val="24"/>
                <w:highlight w:val="none"/>
              </w:rPr>
              <w:t>的潜在供应商应在</w:t>
            </w:r>
            <w:r>
              <w:rPr>
                <w:rFonts w:hint="eastAsia" w:ascii="宋体" w:hAnsi="宋体"/>
                <w:sz w:val="24"/>
                <w:szCs w:val="24"/>
                <w:highlight w:val="none"/>
                <w:u w:val="single"/>
              </w:rPr>
              <w:t>咸宁市咸宁大道39号国际大厦B座100</w:t>
            </w:r>
            <w:r>
              <w:rPr>
                <w:rFonts w:hint="eastAsia" w:ascii="宋体" w:hAnsi="宋体"/>
                <w:sz w:val="24"/>
                <w:szCs w:val="24"/>
                <w:highlight w:val="none"/>
                <w:u w:val="single"/>
                <w:lang w:val="en-US" w:eastAsia="zh-CN"/>
              </w:rPr>
              <w:t>3</w:t>
            </w:r>
            <w:r>
              <w:rPr>
                <w:rFonts w:hint="eastAsia" w:ascii="宋体" w:hAnsi="宋体"/>
                <w:sz w:val="24"/>
                <w:szCs w:val="24"/>
                <w:highlight w:val="none"/>
                <w:u w:val="single"/>
              </w:rPr>
              <w:t>室</w:t>
            </w:r>
            <w:r>
              <w:rPr>
                <w:rFonts w:hint="eastAsia" w:ascii="宋体" w:hAnsi="宋体"/>
                <w:sz w:val="24"/>
                <w:szCs w:val="24"/>
                <w:highlight w:val="none"/>
              </w:rPr>
              <w:t>获取竞争性磋商文件，并于</w:t>
            </w:r>
            <w:r>
              <w:rPr>
                <w:rFonts w:ascii="宋体" w:hAnsi="宋体"/>
                <w:b/>
                <w:bCs/>
                <w:color w:val="000000"/>
                <w:sz w:val="24"/>
                <w:highlight w:val="none"/>
                <w:u w:val="single"/>
              </w:rPr>
              <w:t>2021年</w:t>
            </w:r>
            <w:r>
              <w:rPr>
                <w:rFonts w:hint="eastAsia" w:ascii="宋体" w:hAnsi="宋体"/>
                <w:b/>
                <w:bCs/>
                <w:color w:val="000000"/>
                <w:sz w:val="24"/>
                <w:highlight w:val="none"/>
                <w:u w:val="single"/>
                <w:lang w:val="en-US" w:eastAsia="zh-CN"/>
              </w:rPr>
              <w:t>8</w:t>
            </w:r>
            <w:r>
              <w:rPr>
                <w:rFonts w:ascii="宋体" w:hAnsi="宋体"/>
                <w:b/>
                <w:bCs/>
                <w:color w:val="000000"/>
                <w:sz w:val="24"/>
                <w:highlight w:val="none"/>
                <w:u w:val="single"/>
              </w:rPr>
              <w:t>月</w:t>
            </w:r>
            <w:r>
              <w:rPr>
                <w:rFonts w:hint="eastAsia" w:ascii="宋体" w:hAnsi="宋体"/>
                <w:b/>
                <w:bCs/>
                <w:color w:val="000000"/>
                <w:sz w:val="24"/>
                <w:highlight w:val="none"/>
                <w:u w:val="single"/>
                <w:lang w:val="en-US" w:eastAsia="zh-CN"/>
              </w:rPr>
              <w:t>27</w:t>
            </w:r>
            <w:r>
              <w:rPr>
                <w:rFonts w:ascii="宋体" w:hAnsi="宋体"/>
                <w:b/>
                <w:bCs/>
                <w:color w:val="000000"/>
                <w:sz w:val="24"/>
                <w:highlight w:val="none"/>
                <w:u w:val="single"/>
              </w:rPr>
              <w:t>日</w:t>
            </w:r>
            <w:r>
              <w:rPr>
                <w:rFonts w:hint="eastAsia" w:ascii="宋体" w:hAnsi="宋体"/>
                <w:b/>
                <w:bCs/>
                <w:color w:val="000000"/>
                <w:sz w:val="24"/>
                <w:highlight w:val="none"/>
                <w:u w:val="single"/>
                <w:lang w:eastAsia="zh-CN"/>
              </w:rPr>
              <w:t>下</w:t>
            </w:r>
            <w:r>
              <w:rPr>
                <w:rFonts w:ascii="宋体" w:hAnsi="宋体"/>
                <w:b/>
                <w:bCs/>
                <w:color w:val="000000"/>
                <w:sz w:val="24"/>
                <w:highlight w:val="none"/>
                <w:u w:val="single"/>
              </w:rPr>
              <w:t>午</w:t>
            </w:r>
            <w:r>
              <w:rPr>
                <w:rFonts w:hint="eastAsia" w:ascii="宋体" w:hAnsi="宋体"/>
                <w:b/>
                <w:bCs/>
                <w:color w:val="000000"/>
                <w:sz w:val="24"/>
                <w:highlight w:val="none"/>
                <w:u w:val="single"/>
                <w:lang w:val="en-US" w:eastAsia="zh-CN"/>
              </w:rPr>
              <w:t>15</w:t>
            </w:r>
            <w:r>
              <w:rPr>
                <w:rFonts w:ascii="宋体" w:hAnsi="宋体"/>
                <w:b/>
                <w:bCs/>
                <w:color w:val="000000"/>
                <w:sz w:val="24"/>
                <w:highlight w:val="none"/>
                <w:u w:val="single"/>
              </w:rPr>
              <w:t>点</w:t>
            </w:r>
            <w:r>
              <w:rPr>
                <w:rFonts w:hint="eastAsia" w:ascii="宋体" w:hAnsi="宋体"/>
                <w:b/>
                <w:bCs/>
                <w:color w:val="000000"/>
                <w:sz w:val="24"/>
                <w:highlight w:val="none"/>
                <w:u w:val="single"/>
                <w:lang w:val="en-US" w:eastAsia="zh-CN"/>
              </w:rPr>
              <w:t>00</w:t>
            </w:r>
            <w:r>
              <w:rPr>
                <w:rFonts w:ascii="宋体" w:hAnsi="宋体"/>
                <w:b/>
                <w:bCs/>
                <w:color w:val="000000"/>
                <w:sz w:val="24"/>
                <w:highlight w:val="none"/>
                <w:u w:val="single"/>
              </w:rPr>
              <w:t>分</w:t>
            </w:r>
            <w:r>
              <w:rPr>
                <w:rFonts w:hint="eastAsia" w:ascii="宋体" w:hAnsi="宋体"/>
                <w:sz w:val="24"/>
                <w:szCs w:val="24"/>
                <w:highlight w:val="none"/>
              </w:rPr>
              <w:t>（北京时间）前提交响应文件。</w:t>
            </w:r>
          </w:p>
        </w:tc>
      </w:tr>
    </w:tbl>
    <w:p>
      <w:pPr>
        <w:rPr>
          <w:highlight w:val="none"/>
        </w:rPr>
      </w:pP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一、项目基本情况</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1、项目编号：HK2021-073-Z</w:t>
      </w:r>
    </w:p>
    <w:p>
      <w:pPr>
        <w:spacing w:line="360" w:lineRule="auto"/>
        <w:ind w:firstLine="480" w:firstLineChars="200"/>
        <w:rPr>
          <w:rFonts w:hint="default" w:ascii="宋体" w:hAnsi="宋体" w:eastAsiaTheme="minorEastAsia"/>
          <w:sz w:val="24"/>
          <w:szCs w:val="24"/>
          <w:highlight w:val="none"/>
          <w:lang w:val="en-US" w:eastAsia="zh-CN"/>
        </w:rPr>
      </w:pPr>
      <w:r>
        <w:rPr>
          <w:rFonts w:hint="eastAsia" w:ascii="宋体" w:hAnsi="宋体"/>
          <w:sz w:val="24"/>
          <w:szCs w:val="24"/>
          <w:highlight w:val="none"/>
        </w:rPr>
        <w:t>2、采购计划备案号：</w:t>
      </w:r>
      <w:r>
        <w:rPr>
          <w:rFonts w:hint="eastAsia" w:ascii="宋体" w:hAnsi="宋体"/>
          <w:sz w:val="24"/>
          <w:szCs w:val="24"/>
          <w:highlight w:val="none"/>
          <w:lang w:eastAsia="zh-CN"/>
        </w:rPr>
        <w:t>鄂采计</w:t>
      </w:r>
      <w:r>
        <w:rPr>
          <w:rFonts w:hint="eastAsia" w:ascii="宋体" w:hAnsi="宋体"/>
          <w:sz w:val="24"/>
          <w:szCs w:val="24"/>
          <w:highlight w:val="none"/>
          <w:lang w:val="en-US" w:eastAsia="zh-CN"/>
        </w:rPr>
        <w:t>[2021]-10898号</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3、项目名称：湖北科技学院新增</w:t>
      </w:r>
      <w:r>
        <w:rPr>
          <w:rFonts w:hint="eastAsia" w:ascii="宋体" w:hAnsi="宋体"/>
          <w:sz w:val="24"/>
          <w:szCs w:val="24"/>
          <w:highlight w:val="none"/>
          <w:lang w:eastAsia="zh-CN"/>
        </w:rPr>
        <w:t>视频</w:t>
      </w:r>
      <w:r>
        <w:rPr>
          <w:rFonts w:hint="eastAsia" w:ascii="宋体" w:hAnsi="宋体"/>
          <w:sz w:val="24"/>
          <w:szCs w:val="24"/>
          <w:highlight w:val="none"/>
        </w:rPr>
        <w:t>监控摄像头及维护采购项目</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w:t>
      </w:r>
      <w:bookmarkStart w:id="9" w:name="_Hlk57317431"/>
      <w:r>
        <w:rPr>
          <w:rFonts w:hint="eastAsia" w:ascii="宋体" w:hAnsi="宋体"/>
          <w:sz w:val="24"/>
          <w:szCs w:val="24"/>
          <w:highlight w:val="none"/>
        </w:rPr>
        <w:t>采购方式：竞争性磋商</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5、预算金额：</w:t>
      </w:r>
      <w:bookmarkStart w:id="10" w:name="_Hlk57306503"/>
      <w:r>
        <w:rPr>
          <w:rFonts w:hint="eastAsia" w:ascii="宋体" w:hAnsi="宋体"/>
          <w:sz w:val="24"/>
          <w:szCs w:val="24"/>
          <w:highlight w:val="none"/>
          <w:lang w:val="en-US" w:eastAsia="zh-CN"/>
        </w:rPr>
        <w:t>22.99</w:t>
      </w:r>
      <w:r>
        <w:rPr>
          <w:rFonts w:hint="eastAsia" w:ascii="宋体" w:hAnsi="宋体"/>
          <w:sz w:val="24"/>
          <w:szCs w:val="24"/>
          <w:highlight w:val="none"/>
        </w:rPr>
        <w:t>（万元）</w:t>
      </w:r>
      <w:bookmarkEnd w:id="10"/>
    </w:p>
    <w:bookmarkEnd w:id="9"/>
    <w:p>
      <w:pPr>
        <w:spacing w:line="360" w:lineRule="auto"/>
        <w:ind w:firstLine="480" w:firstLineChars="200"/>
        <w:rPr>
          <w:rFonts w:ascii="宋体" w:hAnsi="宋体"/>
          <w:sz w:val="24"/>
          <w:szCs w:val="24"/>
          <w:highlight w:val="none"/>
        </w:rPr>
      </w:pPr>
      <w:r>
        <w:rPr>
          <w:rFonts w:hint="eastAsia" w:ascii="宋体" w:hAnsi="宋体"/>
          <w:sz w:val="24"/>
          <w:szCs w:val="24"/>
          <w:highlight w:val="none"/>
        </w:rPr>
        <w:t>6、最高限价：</w:t>
      </w:r>
      <w:r>
        <w:rPr>
          <w:rFonts w:hint="eastAsia" w:ascii="宋体" w:hAnsi="宋体"/>
          <w:sz w:val="24"/>
          <w:szCs w:val="24"/>
          <w:highlight w:val="none"/>
          <w:lang w:val="en-US" w:eastAsia="zh-CN"/>
        </w:rPr>
        <w:t>22.99</w:t>
      </w:r>
      <w:r>
        <w:rPr>
          <w:rFonts w:hint="eastAsia" w:ascii="宋体" w:hAnsi="宋体"/>
          <w:sz w:val="24"/>
          <w:szCs w:val="24"/>
          <w:highlight w:val="none"/>
        </w:rPr>
        <w:t>（万元）</w:t>
      </w:r>
    </w:p>
    <w:p>
      <w:pPr>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7、采购需求</w:t>
      </w:r>
      <w:r>
        <w:rPr>
          <w:rFonts w:hint="eastAsia" w:ascii="宋体" w:hAnsi="宋体"/>
          <w:sz w:val="24"/>
          <w:szCs w:val="24"/>
          <w:highlight w:val="none"/>
          <w:lang w:eastAsia="zh-CN"/>
        </w:rPr>
        <w:t>：视频</w:t>
      </w:r>
      <w:r>
        <w:rPr>
          <w:rFonts w:hint="eastAsia" w:ascii="宋体" w:hAnsi="宋体"/>
          <w:sz w:val="24"/>
          <w:szCs w:val="24"/>
          <w:highlight w:val="none"/>
        </w:rPr>
        <w:t>监控摄像头及维护采购，</w:t>
      </w:r>
      <w:r>
        <w:rPr>
          <w:rFonts w:hint="eastAsia" w:ascii="宋体" w:hAnsi="宋体"/>
          <w:sz w:val="24"/>
          <w:szCs w:val="24"/>
          <w:highlight w:val="none"/>
          <w:lang w:val="en-US" w:eastAsia="zh-CN"/>
        </w:rPr>
        <w:t>具体</w:t>
      </w:r>
      <w:r>
        <w:rPr>
          <w:rFonts w:hint="eastAsia" w:ascii="宋体" w:hAnsi="宋体"/>
          <w:sz w:val="24"/>
          <w:szCs w:val="24"/>
          <w:highlight w:val="none"/>
        </w:rPr>
        <w:t>详细内容请参阅</w:t>
      </w:r>
      <w:r>
        <w:rPr>
          <w:rFonts w:hint="eastAsia" w:ascii="宋体" w:hAnsi="宋体"/>
          <w:sz w:val="24"/>
          <w:szCs w:val="24"/>
          <w:highlight w:val="none"/>
          <w:lang w:val="en-US" w:eastAsia="zh-CN"/>
        </w:rPr>
        <w:t>竞争性磋商文件</w:t>
      </w:r>
      <w:r>
        <w:rPr>
          <w:rFonts w:hint="eastAsia" w:ascii="宋体" w:hAnsi="宋体"/>
          <w:sz w:val="24"/>
          <w:szCs w:val="24"/>
          <w:highlight w:val="none"/>
        </w:rPr>
        <w:t>第三章《项目需求书》（</w:t>
      </w:r>
      <w:r>
        <w:rPr>
          <w:rFonts w:hint="eastAsia" w:ascii="宋体" w:hAnsi="宋体"/>
          <w:sz w:val="24"/>
          <w:szCs w:val="24"/>
          <w:highlight w:val="none"/>
          <w:lang w:val="en-US" w:eastAsia="zh-CN"/>
        </w:rPr>
        <w:t>供应商</w:t>
      </w:r>
      <w:r>
        <w:rPr>
          <w:rFonts w:hint="eastAsia" w:ascii="宋体" w:hAnsi="宋体"/>
          <w:sz w:val="24"/>
          <w:szCs w:val="24"/>
          <w:highlight w:val="none"/>
        </w:rPr>
        <w:t>可直接至武汉富纳工程咨询有限公司</w:t>
      </w:r>
      <w:r>
        <w:rPr>
          <w:rFonts w:hint="eastAsia" w:ascii="宋体" w:hAnsi="宋体"/>
          <w:sz w:val="24"/>
          <w:szCs w:val="24"/>
          <w:highlight w:val="none"/>
          <w:lang w:eastAsia="zh-CN"/>
        </w:rPr>
        <w:t>咸宁分公司</w:t>
      </w:r>
      <w:r>
        <w:rPr>
          <w:rFonts w:hint="eastAsia" w:ascii="宋体" w:hAnsi="宋体"/>
          <w:sz w:val="24"/>
          <w:szCs w:val="24"/>
          <w:highlight w:val="none"/>
        </w:rPr>
        <w:t>查阅）。</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8、合同履行期限：</w:t>
      </w:r>
      <w:bookmarkStart w:id="11" w:name="_Hlk57306640"/>
      <w:r>
        <w:rPr>
          <w:rFonts w:hint="eastAsia" w:ascii="宋体" w:hAnsi="宋体"/>
          <w:sz w:val="24"/>
          <w:szCs w:val="24"/>
          <w:highlight w:val="none"/>
          <w:lang w:val="en-US" w:eastAsia="zh-CN"/>
        </w:rPr>
        <w:t>30个</w:t>
      </w:r>
      <w:r>
        <w:rPr>
          <w:rFonts w:hint="eastAsia" w:ascii="宋体" w:hAnsi="宋体"/>
          <w:sz w:val="24"/>
          <w:szCs w:val="24"/>
          <w:highlight w:val="none"/>
        </w:rPr>
        <w:t>日历天</w:t>
      </w:r>
      <w:bookmarkEnd w:id="11"/>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9、本项目（是/否）接受联合体：否</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10、是否可采购进口产品：否</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11、本项目（是/否）专门面向中小微企业：否</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二、申请人的资格要求</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1、满足《中华人民共和国政府采购法》第二十二条规定，即：</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（1）具有独立承担民事责任的能力；</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（2）具有良好的商业信誉和健全的财务会计制度；</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（3）具有履行合同所必需的设备和专业技术能力；</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（4）有依法缴纳税收和社会保障资金的良好记录；</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（5）参加政府采购活动前三年内，在经营活动中没有重大违法记录；</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（6）法律、行政法规规定的其他条件。</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2、单位负责人为同一人或者存在直接控股、管理关系的不同供应商，不得参加本项目同一合同项下的政府采购活动。</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3、为本采购项目提供整体设计、规范编制或者项目管理、监理、检测等服务的，不得再参加本项目的其他招标采购活动。</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4、未被列入失信被执行人、重大税收违法案件当事人名单，未被列入政府采购严重违法失信行为记录名单。</w:t>
      </w:r>
    </w:p>
    <w:p>
      <w:pPr>
        <w:spacing w:line="360" w:lineRule="auto"/>
        <w:ind w:firstLine="480" w:firstLineChars="200"/>
        <w:rPr>
          <w:rFonts w:hint="eastAsia" w:ascii="宋体" w:hAnsi="宋体" w:eastAsiaTheme="minorEastAsia"/>
          <w:sz w:val="24"/>
          <w:szCs w:val="24"/>
          <w:highlight w:val="none"/>
          <w:lang w:eastAsia="zh-CN"/>
        </w:rPr>
      </w:pPr>
      <w:r>
        <w:rPr>
          <w:rFonts w:hint="eastAsia" w:ascii="宋体" w:hAnsi="宋体"/>
          <w:sz w:val="24"/>
          <w:szCs w:val="24"/>
          <w:highlight w:val="none"/>
        </w:rPr>
        <w:t>5、落实政府采购政策需满足的资格要求：</w:t>
      </w:r>
      <w:r>
        <w:rPr>
          <w:rFonts w:hint="eastAsia" w:ascii="宋体" w:hAnsi="宋体"/>
          <w:sz w:val="24"/>
          <w:szCs w:val="24"/>
          <w:highlight w:val="none"/>
          <w:lang w:eastAsia="zh-CN"/>
        </w:rPr>
        <w:t>无</w:t>
      </w:r>
    </w:p>
    <w:p>
      <w:pPr>
        <w:adjustRightInd w:val="0"/>
        <w:snapToGrid w:val="0"/>
        <w:spacing w:line="360" w:lineRule="auto"/>
        <w:ind w:firstLine="480" w:firstLineChars="200"/>
        <w:rPr>
          <w:rFonts w:hint="eastAsia" w:ascii="宋体" w:hAnsi="宋体" w:eastAsiaTheme="minorEastAsia"/>
          <w:color w:val="000000"/>
          <w:kern w:val="0"/>
          <w:sz w:val="24"/>
          <w:szCs w:val="24"/>
          <w:highlight w:val="none"/>
          <w:lang w:val="en-US" w:eastAsia="zh-CN"/>
        </w:rPr>
      </w:pPr>
      <w:r>
        <w:rPr>
          <w:rFonts w:hint="eastAsia" w:ascii="宋体" w:hAnsi="宋体"/>
          <w:sz w:val="24"/>
          <w:szCs w:val="24"/>
          <w:highlight w:val="none"/>
        </w:rPr>
        <w:t>6、本项目的特定资格要求：</w:t>
      </w:r>
      <w:r>
        <w:rPr>
          <w:rFonts w:hint="eastAsia" w:ascii="宋体" w:hAnsi="宋体"/>
          <w:sz w:val="24"/>
          <w:szCs w:val="24"/>
          <w:highlight w:val="none"/>
          <w:lang w:eastAsia="zh-CN"/>
        </w:rPr>
        <w:t>无</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三、获取竞争性磋商文件</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1、时间：2021年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16</w:t>
      </w:r>
      <w:r>
        <w:rPr>
          <w:rFonts w:hint="eastAsia" w:ascii="宋体" w:hAnsi="宋体"/>
          <w:sz w:val="24"/>
          <w:szCs w:val="24"/>
          <w:highlight w:val="none"/>
        </w:rPr>
        <w:t>日至202</w:t>
      </w:r>
      <w:r>
        <w:rPr>
          <w:rFonts w:ascii="宋体" w:hAnsi="宋体"/>
          <w:sz w:val="24"/>
          <w:szCs w:val="24"/>
          <w:highlight w:val="none"/>
        </w:rPr>
        <w:t>1</w:t>
      </w:r>
      <w:r>
        <w:rPr>
          <w:rFonts w:hint="eastAsia" w:ascii="宋体" w:hAnsi="宋体"/>
          <w:sz w:val="24"/>
          <w:szCs w:val="24"/>
          <w:highlight w:val="none"/>
        </w:rPr>
        <w:t>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20</w:t>
      </w:r>
      <w:r>
        <w:rPr>
          <w:rFonts w:hint="eastAsia" w:ascii="宋体" w:hAnsi="宋体"/>
          <w:sz w:val="24"/>
          <w:szCs w:val="24"/>
          <w:highlight w:val="none"/>
        </w:rPr>
        <w:t>日，每天上午0</w:t>
      </w:r>
      <w:r>
        <w:rPr>
          <w:rFonts w:ascii="宋体" w:hAnsi="宋体"/>
          <w:sz w:val="24"/>
          <w:szCs w:val="24"/>
          <w:highlight w:val="none"/>
        </w:rPr>
        <w:t>8</w:t>
      </w:r>
      <w:r>
        <w:rPr>
          <w:rFonts w:hint="eastAsia" w:ascii="宋体" w:hAnsi="宋体"/>
          <w:sz w:val="24"/>
          <w:szCs w:val="24"/>
          <w:highlight w:val="none"/>
        </w:rPr>
        <w:t>:</w:t>
      </w:r>
      <w:r>
        <w:rPr>
          <w:rFonts w:hint="eastAsia" w:ascii="宋体" w:hAnsi="宋体"/>
          <w:sz w:val="24"/>
          <w:szCs w:val="24"/>
          <w:highlight w:val="none"/>
          <w:lang w:val="en-US" w:eastAsia="zh-CN"/>
        </w:rPr>
        <w:t>3</w:t>
      </w:r>
      <w:r>
        <w:rPr>
          <w:rFonts w:hint="eastAsia" w:ascii="宋体" w:hAnsi="宋体"/>
          <w:sz w:val="24"/>
          <w:szCs w:val="24"/>
          <w:highlight w:val="none"/>
        </w:rPr>
        <w:t>0至12:00，下午1</w:t>
      </w:r>
      <w:r>
        <w:rPr>
          <w:rFonts w:ascii="宋体" w:hAnsi="宋体"/>
          <w:sz w:val="24"/>
          <w:szCs w:val="24"/>
          <w:highlight w:val="none"/>
        </w:rPr>
        <w:t>4</w:t>
      </w:r>
      <w:r>
        <w:rPr>
          <w:rFonts w:hint="eastAsia" w:ascii="宋体" w:hAnsi="宋体"/>
          <w:sz w:val="24"/>
          <w:szCs w:val="24"/>
          <w:highlight w:val="none"/>
        </w:rPr>
        <w:t>:</w:t>
      </w:r>
      <w:r>
        <w:rPr>
          <w:rFonts w:ascii="宋体" w:hAnsi="宋体"/>
          <w:sz w:val="24"/>
          <w:szCs w:val="24"/>
          <w:highlight w:val="none"/>
        </w:rPr>
        <w:t>30</w:t>
      </w:r>
      <w:r>
        <w:rPr>
          <w:rFonts w:hint="eastAsia" w:ascii="宋体" w:hAnsi="宋体"/>
          <w:sz w:val="24"/>
          <w:szCs w:val="24"/>
          <w:highlight w:val="none"/>
        </w:rPr>
        <w:t>至</w:t>
      </w:r>
      <w:r>
        <w:rPr>
          <w:rFonts w:ascii="宋体" w:hAnsi="宋体"/>
          <w:sz w:val="24"/>
          <w:szCs w:val="24"/>
          <w:highlight w:val="none"/>
        </w:rPr>
        <w:t>17</w:t>
      </w:r>
      <w:r>
        <w:rPr>
          <w:rFonts w:hint="eastAsia" w:ascii="宋体" w:hAnsi="宋体"/>
          <w:sz w:val="24"/>
          <w:szCs w:val="24"/>
          <w:highlight w:val="none"/>
        </w:rPr>
        <w:t>:</w:t>
      </w:r>
      <w:r>
        <w:rPr>
          <w:rFonts w:hint="eastAsia" w:ascii="宋体" w:hAnsi="宋体"/>
          <w:sz w:val="24"/>
          <w:szCs w:val="24"/>
          <w:highlight w:val="none"/>
          <w:lang w:val="en-US" w:eastAsia="zh-CN"/>
        </w:rPr>
        <w:t>0</w:t>
      </w:r>
      <w:r>
        <w:rPr>
          <w:rFonts w:hint="eastAsia" w:ascii="宋体" w:hAnsi="宋体"/>
          <w:sz w:val="24"/>
          <w:szCs w:val="24"/>
          <w:highlight w:val="none"/>
        </w:rPr>
        <w:t>0（北京时间，法定节假日除外）</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2、地点：咸宁市咸宁大道39号国际大厦B座100</w:t>
      </w:r>
      <w:r>
        <w:rPr>
          <w:rFonts w:hint="eastAsia" w:ascii="宋体" w:hAnsi="宋体"/>
          <w:sz w:val="24"/>
          <w:szCs w:val="24"/>
          <w:highlight w:val="none"/>
          <w:lang w:val="en-US" w:eastAsia="zh-CN"/>
        </w:rPr>
        <w:t>3</w:t>
      </w:r>
      <w:r>
        <w:rPr>
          <w:rFonts w:hint="eastAsia" w:ascii="宋体" w:hAnsi="宋体"/>
          <w:sz w:val="24"/>
          <w:szCs w:val="24"/>
          <w:highlight w:val="none"/>
        </w:rPr>
        <w:t>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3、方式：</w:t>
      </w:r>
      <w:bookmarkStart w:id="12" w:name="_Hlk6461570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highlight w:val="none"/>
        </w:rPr>
      </w:pPr>
      <w:r>
        <w:rPr>
          <w:rFonts w:hint="eastAsia" w:ascii="宋体" w:hAnsi="宋体"/>
          <w:color w:val="000000" w:themeColor="text1"/>
          <w:sz w:val="24"/>
          <w:highlight w:val="none"/>
          <w:lang w:eastAsia="zh-CN"/>
          <w14:textFill>
            <w14:solidFill>
              <w14:schemeClr w14:val="tx1"/>
            </w14:solidFill>
          </w14:textFill>
        </w:rPr>
        <w:t>现场购买。</w:t>
      </w:r>
      <w:r>
        <w:rPr>
          <w:rFonts w:hint="eastAsia" w:ascii="宋体" w:hAnsi="宋体"/>
          <w:sz w:val="24"/>
          <w:highlight w:val="none"/>
        </w:rPr>
        <w:t>获取</w:t>
      </w:r>
      <w:r>
        <w:rPr>
          <w:rFonts w:hint="eastAsia" w:ascii="宋体" w:hAnsi="宋体"/>
          <w:sz w:val="24"/>
          <w:highlight w:val="none"/>
          <w:lang w:val="en-US" w:eastAsia="zh-CN"/>
        </w:rPr>
        <w:t>磋商</w:t>
      </w:r>
      <w:r>
        <w:rPr>
          <w:rFonts w:hint="eastAsia" w:ascii="宋体" w:hAnsi="宋体"/>
          <w:sz w:val="24"/>
          <w:highlight w:val="none"/>
        </w:rPr>
        <w:t>文件时，</w:t>
      </w:r>
      <w:r>
        <w:rPr>
          <w:rFonts w:hint="eastAsia" w:ascii="宋体" w:hAnsi="宋体"/>
          <w:sz w:val="24"/>
          <w:highlight w:val="none"/>
          <w:lang w:val="en-US" w:eastAsia="zh-CN"/>
        </w:rPr>
        <w:t>供应商</w:t>
      </w:r>
      <w:r>
        <w:rPr>
          <w:rFonts w:hint="eastAsia" w:ascii="宋体" w:hAnsi="宋体"/>
          <w:sz w:val="24"/>
          <w:highlight w:val="none"/>
        </w:rPr>
        <w:t>代表须携带本人身份证原件以及下述资料加盖公章的复印件一套：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①法定代表人资格证明书；</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②法定代表人授权委托书（法定代表人只需携带法定代表人资格证明书）；</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③</w:t>
      </w:r>
      <w:bookmarkEnd w:id="12"/>
      <w:r>
        <w:rPr>
          <w:rFonts w:hint="eastAsia" w:ascii="宋体" w:hAnsi="宋体" w:eastAsia="宋体" w:cs="宋体"/>
          <w:sz w:val="24"/>
          <w:highlight w:val="none"/>
        </w:rPr>
        <w:t>法人或者其他组织的营业执照等证明文件（如供应商为自然人，应提供有效的自然人身份证明）；</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4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④</w:t>
      </w:r>
      <w:r>
        <w:rPr>
          <w:rFonts w:hint="eastAsia" w:ascii="宋体" w:hAnsi="宋体" w:eastAsia="宋体" w:cs="宋体"/>
          <w:sz w:val="24"/>
          <w:highlight w:val="none"/>
        </w:rPr>
        <w:fldChar w:fldCharType="end"/>
      </w:r>
      <w:r>
        <w:rPr>
          <w:rFonts w:hint="eastAsia" w:ascii="宋体" w:hAnsi="宋体" w:eastAsia="宋体" w:cs="宋体"/>
          <w:sz w:val="24"/>
          <w:highlight w:val="none"/>
        </w:rPr>
        <w:t>近两年（201</w:t>
      </w:r>
      <w:r>
        <w:rPr>
          <w:rFonts w:hint="eastAsia" w:ascii="宋体" w:hAnsi="宋体" w:eastAsia="宋体" w:cs="宋体"/>
          <w:sz w:val="24"/>
          <w:highlight w:val="none"/>
          <w:lang w:val="en-US" w:eastAsia="zh-CN"/>
        </w:rPr>
        <w:t>9</w:t>
      </w:r>
      <w:r>
        <w:rPr>
          <w:rFonts w:hint="eastAsia" w:ascii="宋体" w:hAnsi="宋体" w:eastAsia="宋体" w:cs="宋体"/>
          <w:sz w:val="24"/>
          <w:highlight w:val="none"/>
        </w:rPr>
        <w:t>年至今）中任意一年经会计事务所审计的财务报告或公示期内</w:t>
      </w:r>
      <w:r>
        <w:rPr>
          <w:rFonts w:hint="eastAsia" w:ascii="宋体" w:hAnsi="宋体" w:eastAsia="宋体" w:cs="宋体"/>
          <w:sz w:val="24"/>
          <w:highlight w:val="none"/>
          <w:lang w:eastAsia="zh-CN"/>
        </w:rPr>
        <w:t>基本</w:t>
      </w:r>
      <w:r>
        <w:rPr>
          <w:rFonts w:hint="eastAsia" w:ascii="宋体" w:hAnsi="宋体" w:eastAsia="宋体" w:cs="宋体"/>
          <w:sz w:val="24"/>
          <w:highlight w:val="none"/>
        </w:rPr>
        <w:t>开户银行出具的资信证明文件；</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5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⑤</w:t>
      </w:r>
      <w:r>
        <w:rPr>
          <w:rFonts w:hint="eastAsia" w:ascii="宋体" w:hAnsi="宋体" w:eastAsia="宋体" w:cs="宋体"/>
          <w:sz w:val="24"/>
          <w:highlight w:val="none"/>
        </w:rPr>
        <w:fldChar w:fldCharType="end"/>
      </w:r>
      <w:r>
        <w:rPr>
          <w:rFonts w:hint="eastAsia" w:ascii="宋体" w:hAnsi="宋体" w:eastAsia="宋体" w:cs="宋体"/>
          <w:sz w:val="24"/>
          <w:highlight w:val="none"/>
        </w:rPr>
        <w:t>具备履行合同所必需的设备和专业技术能力的书面声明或相关证明材料；</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6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⑥</w:t>
      </w:r>
      <w:r>
        <w:rPr>
          <w:rFonts w:hint="eastAsia" w:ascii="宋体" w:hAnsi="宋体" w:eastAsia="宋体" w:cs="宋体"/>
          <w:sz w:val="24"/>
          <w:highlight w:val="none"/>
        </w:rPr>
        <w:fldChar w:fldCharType="end"/>
      </w:r>
      <w:r>
        <w:rPr>
          <w:rFonts w:hint="eastAsia" w:ascii="宋体" w:hAnsi="宋体" w:eastAsia="宋体" w:cs="宋体"/>
          <w:sz w:val="24"/>
          <w:highlight w:val="none"/>
        </w:rPr>
        <w:t>近六个月（</w:t>
      </w:r>
      <w:r>
        <w:rPr>
          <w:rFonts w:hint="eastAsia" w:ascii="宋体" w:hAnsi="宋体" w:eastAsia="宋体" w:cs="宋体"/>
          <w:sz w:val="24"/>
          <w:highlight w:val="none"/>
          <w:lang w:eastAsia="zh-CN"/>
        </w:rPr>
        <w:t>202</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年</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月至今）任意一个月依法缴纳税收</w:t>
      </w:r>
      <w:r>
        <w:rPr>
          <w:rFonts w:hint="eastAsia" w:ascii="宋体" w:hAnsi="宋体" w:eastAsia="宋体" w:cs="宋体"/>
          <w:sz w:val="24"/>
          <w:highlight w:val="none"/>
          <w:lang w:eastAsia="zh-CN"/>
        </w:rPr>
        <w:t>和</w:t>
      </w:r>
      <w:r>
        <w:rPr>
          <w:rFonts w:hint="eastAsia" w:ascii="宋体" w:hAnsi="宋体" w:eastAsia="宋体" w:cs="宋体"/>
          <w:sz w:val="24"/>
          <w:highlight w:val="none"/>
        </w:rPr>
        <w:t>社会保障资金的证明材料；</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7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⑦</w:t>
      </w:r>
      <w:r>
        <w:rPr>
          <w:rFonts w:hint="eastAsia" w:ascii="宋体" w:hAnsi="宋体" w:eastAsia="宋体" w:cs="宋体"/>
          <w:sz w:val="24"/>
          <w:highlight w:val="none"/>
        </w:rPr>
        <w:fldChar w:fldCharType="end"/>
      </w:r>
      <w:r>
        <w:rPr>
          <w:rFonts w:hint="eastAsia" w:ascii="宋体" w:hAnsi="宋体" w:eastAsia="宋体" w:cs="宋体"/>
          <w:sz w:val="24"/>
          <w:highlight w:val="none"/>
        </w:rPr>
        <w:t>参加政府采购活动前3年内在经营活动中没有重大违法记录的书面声明；</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fldChar w:fldCharType="begin"/>
      </w:r>
      <w:r>
        <w:rPr>
          <w:rFonts w:hint="eastAsia" w:ascii="宋体" w:hAnsi="宋体" w:eastAsia="宋体" w:cs="宋体"/>
          <w:sz w:val="24"/>
          <w:highlight w:val="none"/>
        </w:rPr>
        <w:instrText xml:space="preserve"> = 8 \* GB3 </w:instrText>
      </w:r>
      <w:r>
        <w:rPr>
          <w:rFonts w:hint="eastAsia" w:ascii="宋体" w:hAnsi="宋体" w:eastAsia="宋体" w:cs="宋体"/>
          <w:sz w:val="24"/>
          <w:highlight w:val="none"/>
        </w:rPr>
        <w:fldChar w:fldCharType="separate"/>
      </w:r>
      <w:r>
        <w:rPr>
          <w:rFonts w:hint="eastAsia" w:ascii="宋体" w:hAnsi="宋体" w:eastAsia="宋体" w:cs="宋体"/>
          <w:sz w:val="24"/>
          <w:highlight w:val="none"/>
        </w:rPr>
        <w:t>⑧</w:t>
      </w:r>
      <w:r>
        <w:rPr>
          <w:rFonts w:hint="eastAsia" w:ascii="宋体" w:hAnsi="宋体" w:eastAsia="宋体" w:cs="宋体"/>
          <w:sz w:val="24"/>
          <w:highlight w:val="none"/>
        </w:rPr>
        <w:fldChar w:fldCharType="end"/>
      </w:r>
      <w:r>
        <w:rPr>
          <w:rFonts w:hint="eastAsia" w:ascii="宋体" w:hAnsi="宋体" w:eastAsia="宋体" w:cs="宋体"/>
          <w:sz w:val="24"/>
          <w:highlight w:val="none"/>
        </w:rPr>
        <w:t>具备法律、行政法规规定的其他条件书面声明；</w:t>
      </w:r>
    </w:p>
    <w:p>
      <w:pPr>
        <w:spacing w:line="360" w:lineRule="auto"/>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eastAsia="宋体" w:cs="宋体"/>
          <w:sz w:val="24"/>
          <w:szCs w:val="24"/>
          <w:highlight w:val="none"/>
        </w:rPr>
        <w:t>⑨</w:t>
      </w:r>
      <w:r>
        <w:rPr>
          <w:rFonts w:hint="eastAsia" w:ascii="宋体" w:hAnsi="宋体" w:eastAsia="宋体" w:cs="宋体"/>
          <w:snapToGrid w:val="0"/>
          <w:sz w:val="24"/>
          <w:szCs w:val="24"/>
          <w:highlight w:val="none"/>
        </w:rPr>
        <w:t>未被列入“信用中国”网站(www.creditchina.gov.cn)失信被执行人、重大税收违法案件当事人和“中国政府采购”网站（www.ccgp.gov.cn）政府采购严重违法失信行为记录名单的网页截图</w:t>
      </w:r>
      <w:r>
        <w:rPr>
          <w:rFonts w:hint="eastAsia" w:ascii="宋体" w:hAnsi="宋体" w:eastAsia="宋体" w:cs="宋体"/>
          <w:sz w:val="24"/>
          <w:szCs w:val="24"/>
          <w:highlight w:val="none"/>
        </w:rPr>
        <w:t>。</w:t>
      </w:r>
    </w:p>
    <w:p>
      <w:pPr>
        <w:adjustRightInd w:val="0"/>
        <w:snapToGrid w:val="0"/>
        <w:spacing w:line="360" w:lineRule="auto"/>
        <w:ind w:firstLine="480" w:firstLineChars="20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lang w:val="en-US" w:eastAsia="zh-CN"/>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、售价：竞争性磋商文件售价人民币</w:t>
      </w:r>
      <w:r>
        <w:rPr>
          <w:rFonts w:hint="eastAsia" w:ascii="宋体" w:hAnsi="宋体"/>
          <w:color w:val="000000" w:themeColor="text1"/>
          <w:sz w:val="24"/>
          <w:highlight w:val="none"/>
          <w:lang w:val="en-US" w:eastAsia="zh-CN"/>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00元/份，文件售后不退。（不办理邮寄</w:t>
      </w:r>
      <w:r>
        <w:rPr>
          <w:rFonts w:hint="eastAsia" w:ascii="宋体" w:hAnsi="宋体"/>
          <w:color w:val="000000" w:themeColor="text1"/>
          <w:sz w:val="24"/>
          <w:highlight w:val="none"/>
          <w:lang w:val="en-US" w:eastAsia="zh-CN"/>
          <w14:textFill>
            <w14:solidFill>
              <w14:schemeClr w14:val="tx1"/>
            </w14:solidFill>
          </w14:textFill>
        </w:rPr>
        <w:t>，报名费接受现金或公对公转账。</w:t>
      </w:r>
      <w:r>
        <w:rPr>
          <w:rFonts w:hint="eastAsia" w:ascii="宋体" w:hAnsi="宋体"/>
          <w:color w:val="000000" w:themeColor="text1"/>
          <w:sz w:val="24"/>
          <w:highlight w:val="none"/>
          <w14:textFill>
            <w14:solidFill>
              <w14:schemeClr w14:val="tx1"/>
            </w14:solidFill>
          </w14:textFill>
        </w:rPr>
        <w:t>）</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四、响应文件提交</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1、开始时间：</w:t>
      </w:r>
      <w:r>
        <w:rPr>
          <w:rFonts w:hint="eastAsia" w:ascii="宋体" w:hAnsi="宋体"/>
          <w:sz w:val="24"/>
          <w:szCs w:val="24"/>
          <w:highlight w:val="none"/>
        </w:rPr>
        <w:t>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27</w:t>
      </w:r>
      <w:r>
        <w:rPr>
          <w:rFonts w:hint="eastAsia" w:ascii="宋体" w:hAnsi="宋体"/>
          <w:sz w:val="24"/>
          <w:szCs w:val="24"/>
          <w:highlight w:val="none"/>
        </w:rPr>
        <w:t>日</w:t>
      </w:r>
      <w:r>
        <w:rPr>
          <w:rFonts w:hint="eastAsia" w:ascii="宋体" w:hAnsi="宋体"/>
          <w:sz w:val="24"/>
          <w:szCs w:val="24"/>
          <w:highlight w:val="none"/>
          <w:lang w:val="en-US" w:eastAsia="zh-CN"/>
        </w:rPr>
        <w:t>14</w:t>
      </w:r>
      <w:r>
        <w:rPr>
          <w:rFonts w:hint="eastAsia" w:ascii="宋体" w:hAnsi="宋体"/>
          <w:sz w:val="24"/>
          <w:szCs w:val="24"/>
          <w:highlight w:val="none"/>
        </w:rPr>
        <w:t>点</w:t>
      </w:r>
      <w:r>
        <w:rPr>
          <w:rFonts w:hint="eastAsia" w:ascii="宋体" w:hAnsi="宋体"/>
          <w:sz w:val="24"/>
          <w:szCs w:val="24"/>
          <w:highlight w:val="none"/>
          <w:lang w:val="en-US" w:eastAsia="zh-CN"/>
        </w:rPr>
        <w:t>3</w:t>
      </w:r>
      <w:r>
        <w:rPr>
          <w:rFonts w:hint="eastAsia" w:ascii="宋体" w:hAnsi="宋体"/>
          <w:sz w:val="24"/>
          <w:szCs w:val="24"/>
          <w:highlight w:val="none"/>
        </w:rPr>
        <w:t>0分（北京时间）</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2、截止时间：</w:t>
      </w:r>
      <w:r>
        <w:rPr>
          <w:rFonts w:hint="eastAsia" w:ascii="宋体" w:hAnsi="宋体"/>
          <w:sz w:val="24"/>
          <w:szCs w:val="24"/>
          <w:highlight w:val="none"/>
        </w:rPr>
        <w:t>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27</w:t>
      </w:r>
      <w:r>
        <w:rPr>
          <w:rFonts w:hint="eastAsia" w:ascii="宋体" w:hAnsi="宋体"/>
          <w:sz w:val="24"/>
          <w:szCs w:val="24"/>
          <w:highlight w:val="none"/>
        </w:rPr>
        <w:t>日</w:t>
      </w:r>
      <w:r>
        <w:rPr>
          <w:rFonts w:hint="eastAsia" w:ascii="宋体" w:hAnsi="宋体"/>
          <w:sz w:val="24"/>
          <w:szCs w:val="24"/>
          <w:highlight w:val="none"/>
          <w:lang w:val="en-US" w:eastAsia="zh-CN"/>
        </w:rPr>
        <w:t>15</w:t>
      </w:r>
      <w:r>
        <w:rPr>
          <w:rFonts w:hint="eastAsia" w:ascii="宋体" w:hAnsi="宋体"/>
          <w:sz w:val="24"/>
          <w:szCs w:val="24"/>
          <w:highlight w:val="none"/>
        </w:rPr>
        <w:t>点00分（北京时间）</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3、地点：咸宁市咸宁大道39号国际大厦B座100</w:t>
      </w:r>
      <w:r>
        <w:rPr>
          <w:rFonts w:hint="eastAsia" w:ascii="宋体" w:hAnsi="宋体"/>
          <w:color w:val="000000"/>
          <w:sz w:val="24"/>
          <w:szCs w:val="24"/>
          <w:highlight w:val="none"/>
          <w:lang w:val="en-US" w:eastAsia="zh-CN"/>
        </w:rPr>
        <w:t>4</w:t>
      </w:r>
      <w:r>
        <w:rPr>
          <w:rFonts w:hint="eastAsia" w:ascii="宋体" w:hAnsi="宋体"/>
          <w:color w:val="000000"/>
          <w:sz w:val="24"/>
          <w:szCs w:val="24"/>
          <w:highlight w:val="none"/>
        </w:rPr>
        <w:t>室</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五、开启</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1、时间：</w:t>
      </w:r>
      <w:r>
        <w:rPr>
          <w:rFonts w:hint="eastAsia" w:ascii="宋体" w:hAnsi="宋体"/>
          <w:sz w:val="24"/>
          <w:szCs w:val="24"/>
          <w:highlight w:val="none"/>
        </w:rPr>
        <w:t>2021年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27</w:t>
      </w:r>
      <w:r>
        <w:rPr>
          <w:rFonts w:hint="eastAsia" w:ascii="宋体" w:hAnsi="宋体"/>
          <w:sz w:val="24"/>
          <w:szCs w:val="24"/>
          <w:highlight w:val="none"/>
        </w:rPr>
        <w:t>日</w:t>
      </w:r>
      <w:r>
        <w:rPr>
          <w:rFonts w:hint="eastAsia" w:ascii="宋体" w:hAnsi="宋体"/>
          <w:sz w:val="24"/>
          <w:szCs w:val="24"/>
          <w:highlight w:val="none"/>
          <w:lang w:val="en-US" w:eastAsia="zh-CN"/>
        </w:rPr>
        <w:t>15</w:t>
      </w:r>
      <w:r>
        <w:rPr>
          <w:rFonts w:hint="eastAsia" w:ascii="宋体" w:hAnsi="宋体"/>
          <w:sz w:val="24"/>
          <w:szCs w:val="24"/>
          <w:highlight w:val="none"/>
        </w:rPr>
        <w:t>点00分（北京时间）</w:t>
      </w:r>
    </w:p>
    <w:p>
      <w:pPr>
        <w:spacing w:line="360" w:lineRule="auto"/>
        <w:ind w:firstLine="480" w:firstLineChars="200"/>
        <w:rPr>
          <w:rFonts w:ascii="宋体" w:hAnsi="宋体"/>
          <w:color w:val="000000"/>
          <w:sz w:val="24"/>
          <w:szCs w:val="24"/>
          <w:highlight w:val="none"/>
        </w:rPr>
      </w:pPr>
      <w:r>
        <w:rPr>
          <w:rFonts w:hint="eastAsia" w:ascii="宋体" w:hAnsi="宋体"/>
          <w:color w:val="000000"/>
          <w:sz w:val="24"/>
          <w:szCs w:val="24"/>
          <w:highlight w:val="none"/>
        </w:rPr>
        <w:t>2、地点：</w:t>
      </w:r>
      <w:r>
        <w:rPr>
          <w:rFonts w:hint="eastAsia" w:ascii="宋体" w:hAnsi="宋体"/>
          <w:sz w:val="24"/>
          <w:szCs w:val="24"/>
          <w:highlight w:val="none"/>
        </w:rPr>
        <w:t>咸宁市咸宁大道39号国际大厦B座100</w:t>
      </w:r>
      <w:r>
        <w:rPr>
          <w:rFonts w:hint="eastAsia" w:ascii="宋体" w:hAnsi="宋体"/>
          <w:sz w:val="24"/>
          <w:szCs w:val="24"/>
          <w:highlight w:val="none"/>
          <w:lang w:val="en-US" w:eastAsia="zh-CN"/>
        </w:rPr>
        <w:t>3</w:t>
      </w:r>
      <w:r>
        <w:rPr>
          <w:rFonts w:hint="eastAsia" w:ascii="宋体" w:hAnsi="宋体"/>
          <w:sz w:val="24"/>
          <w:szCs w:val="24"/>
          <w:highlight w:val="none"/>
        </w:rPr>
        <w:t>室</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六、公告期限</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自本公告发布之日起</w:t>
      </w:r>
      <w:r>
        <w:rPr>
          <w:rFonts w:ascii="宋体" w:hAnsi="宋体"/>
          <w:sz w:val="24"/>
          <w:szCs w:val="24"/>
          <w:highlight w:val="none"/>
        </w:rPr>
        <w:t>5</w:t>
      </w:r>
      <w:r>
        <w:rPr>
          <w:rFonts w:hint="eastAsia" w:ascii="宋体" w:hAnsi="宋体"/>
          <w:sz w:val="24"/>
          <w:szCs w:val="24"/>
          <w:highlight w:val="none"/>
        </w:rPr>
        <w:t>个工作日。</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七、其他补充事宜</w:t>
      </w:r>
    </w:p>
    <w:p>
      <w:pPr>
        <w:spacing w:line="360" w:lineRule="auto"/>
        <w:ind w:firstLine="480" w:firstLineChars="200"/>
        <w:rPr>
          <w:rFonts w:hint="eastAsia"/>
          <w:highlight w:val="none"/>
          <w:lang w:eastAsia="zh-CN"/>
        </w:rPr>
      </w:pPr>
      <w:r>
        <w:rPr>
          <w:rFonts w:hint="eastAsia" w:ascii="宋体" w:hAnsi="宋体"/>
          <w:sz w:val="24"/>
          <w:szCs w:val="24"/>
          <w:highlight w:val="none"/>
          <w:lang w:val="en-US" w:eastAsia="zh-CN"/>
        </w:rPr>
        <w:t>1.</w:t>
      </w:r>
      <w:r>
        <w:rPr>
          <w:rFonts w:hint="eastAsia" w:ascii="宋体" w:hAnsi="宋体"/>
          <w:sz w:val="24"/>
          <w:szCs w:val="24"/>
          <w:highlight w:val="none"/>
        </w:rPr>
        <w:t>公告媒体：湖北省政府采购网（</w:t>
      </w:r>
      <w:r>
        <w:rPr>
          <w:rFonts w:ascii="宋体" w:hAnsi="宋体"/>
          <w:sz w:val="24"/>
          <w:szCs w:val="24"/>
          <w:highlight w:val="none"/>
        </w:rPr>
        <w:t>http://www.ccgp-hubei.gov.cn/</w:t>
      </w:r>
      <w:r>
        <w:rPr>
          <w:rFonts w:hint="eastAsia" w:ascii="宋体" w:hAnsi="宋体"/>
          <w:sz w:val="24"/>
          <w:szCs w:val="24"/>
          <w:highlight w:val="none"/>
        </w:rPr>
        <w:t>）、</w:t>
      </w:r>
      <w:bookmarkStart w:id="13" w:name="OLE_LINK3"/>
      <w:r>
        <w:rPr>
          <w:rFonts w:hint="eastAsia" w:ascii="宋体" w:hAnsi="宋体"/>
          <w:sz w:val="24"/>
          <w:szCs w:val="24"/>
          <w:highlight w:val="none"/>
        </w:rPr>
        <w:t>湖北科技学院采购网（</w:t>
      </w:r>
      <w:r>
        <w:rPr>
          <w:rFonts w:ascii="宋体" w:hAnsi="宋体"/>
          <w:sz w:val="24"/>
          <w:szCs w:val="24"/>
          <w:highlight w:val="none"/>
        </w:rPr>
        <w:t>http://cgztb.hbust.edu.cn/</w:t>
      </w:r>
      <w:r>
        <w:rPr>
          <w:rFonts w:hint="eastAsia" w:ascii="宋体" w:hAnsi="宋体"/>
          <w:sz w:val="24"/>
          <w:szCs w:val="24"/>
          <w:highlight w:val="none"/>
        </w:rPr>
        <w:t>）</w:t>
      </w:r>
      <w:bookmarkEnd w:id="13"/>
      <w:r>
        <w:rPr>
          <w:rFonts w:hint="eastAsia" w:ascii="宋体" w:hAnsi="宋体"/>
          <w:sz w:val="24"/>
          <w:szCs w:val="24"/>
          <w:highlight w:val="none"/>
          <w:lang w:eastAsia="zh-CN"/>
        </w:rPr>
        <w:t>、</w:t>
      </w:r>
      <w:r>
        <w:rPr>
          <w:rFonts w:hint="eastAsia" w:ascii="宋体" w:hAnsi="宋体"/>
          <w:sz w:val="24"/>
          <w:szCs w:val="24"/>
          <w:highlight w:val="none"/>
        </w:rPr>
        <w:t>武汉富纳工程咨询有限公司网（http://www.whfnzx.com）</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八、凡对本次采购提出询问，请按</w:t>
      </w:r>
      <w:r>
        <w:rPr>
          <w:rFonts w:ascii="宋体" w:hAnsi="宋体"/>
          <w:b/>
          <w:bCs/>
          <w:sz w:val="24"/>
          <w:szCs w:val="24"/>
          <w:highlight w:val="none"/>
        </w:rPr>
        <w:t>以下方式</w:t>
      </w:r>
      <w:r>
        <w:rPr>
          <w:rFonts w:hint="eastAsia" w:ascii="宋体" w:hAnsi="宋体"/>
          <w:b/>
          <w:bCs/>
          <w:sz w:val="24"/>
          <w:szCs w:val="24"/>
          <w:highlight w:val="none"/>
        </w:rPr>
        <w:t>联系</w:t>
      </w:r>
    </w:p>
    <w:p>
      <w:pPr>
        <w:spacing w:line="360" w:lineRule="auto"/>
        <w:ind w:firstLine="480" w:firstLineChars="200"/>
        <w:rPr>
          <w:rFonts w:ascii="宋体" w:hAnsi="宋体" w:cs="Times New Roman"/>
          <w:sz w:val="24"/>
          <w:szCs w:val="24"/>
          <w:highlight w:val="none"/>
        </w:rPr>
      </w:pPr>
      <w:bookmarkStart w:id="14" w:name="_Toc28359096"/>
      <w:bookmarkStart w:id="15" w:name="_Toc35393637"/>
      <w:bookmarkStart w:id="16" w:name="_Toc28359019"/>
      <w:bookmarkStart w:id="17" w:name="_Toc35393806"/>
      <w:r>
        <w:rPr>
          <w:rFonts w:hint="eastAsia" w:ascii="宋体" w:hAnsi="宋体" w:cs="Times New Roman"/>
          <w:sz w:val="24"/>
          <w:szCs w:val="24"/>
          <w:highlight w:val="none"/>
        </w:rPr>
        <w:t>1、采购人信息</w:t>
      </w:r>
      <w:bookmarkEnd w:id="14"/>
      <w:bookmarkEnd w:id="15"/>
      <w:bookmarkEnd w:id="16"/>
      <w:bookmarkEnd w:id="17"/>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名　　称：</w:t>
      </w:r>
      <w:r>
        <w:rPr>
          <w:rFonts w:hint="eastAsia" w:ascii="宋体" w:hAnsi="宋体"/>
          <w:sz w:val="24"/>
          <w:szCs w:val="24"/>
          <w:highlight w:val="none"/>
          <w:u w:val="single"/>
        </w:rPr>
        <w:t>湖北科技学院</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地　　址：</w:t>
      </w:r>
      <w:r>
        <w:rPr>
          <w:rFonts w:hint="eastAsia" w:ascii="宋体" w:hAnsi="宋体"/>
          <w:sz w:val="24"/>
          <w:szCs w:val="24"/>
          <w:highlight w:val="none"/>
          <w:u w:val="single"/>
        </w:rPr>
        <w:t>湖北省咸宁市咸宁大道88号</w:t>
      </w:r>
    </w:p>
    <w:p>
      <w:pPr>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联系方式：</w:t>
      </w:r>
      <w:r>
        <w:rPr>
          <w:rFonts w:hint="eastAsia" w:ascii="宋体" w:hAnsi="宋体"/>
          <w:sz w:val="24"/>
          <w:szCs w:val="24"/>
          <w:highlight w:val="none"/>
          <w:u w:val="single"/>
          <w:lang w:eastAsia="zh-CN"/>
        </w:rPr>
        <w:t>李老师，0715-8129885</w:t>
      </w:r>
    </w:p>
    <w:p>
      <w:pPr>
        <w:spacing w:line="360" w:lineRule="auto"/>
        <w:ind w:firstLine="480" w:firstLineChars="200"/>
        <w:rPr>
          <w:rFonts w:ascii="宋体" w:hAnsi="宋体" w:cs="Times New Roman"/>
          <w:sz w:val="24"/>
          <w:szCs w:val="24"/>
          <w:highlight w:val="none"/>
        </w:rPr>
      </w:pPr>
      <w:bookmarkStart w:id="18" w:name="_Toc28359020"/>
      <w:bookmarkStart w:id="19" w:name="_Toc28359097"/>
      <w:bookmarkStart w:id="20" w:name="_Toc35393638"/>
      <w:bookmarkStart w:id="21" w:name="_Toc35393807"/>
      <w:r>
        <w:rPr>
          <w:rFonts w:hint="eastAsia" w:ascii="宋体" w:hAnsi="宋体" w:cs="Times New Roman"/>
          <w:sz w:val="24"/>
          <w:szCs w:val="24"/>
          <w:highlight w:val="none"/>
        </w:rPr>
        <w:t>2、采购代理机构信息</w:t>
      </w:r>
      <w:bookmarkEnd w:id="18"/>
      <w:bookmarkEnd w:id="19"/>
      <w:bookmarkEnd w:id="20"/>
      <w:bookmarkEnd w:id="21"/>
    </w:p>
    <w:p>
      <w:pPr>
        <w:spacing w:line="360" w:lineRule="auto"/>
        <w:ind w:firstLine="480" w:firstLineChars="200"/>
        <w:rPr>
          <w:rFonts w:ascii="宋体" w:hAnsi="宋体"/>
          <w:sz w:val="24"/>
          <w:szCs w:val="24"/>
          <w:highlight w:val="none"/>
        </w:rPr>
      </w:pPr>
      <w:bookmarkStart w:id="22" w:name="_Hlk515527078"/>
      <w:r>
        <w:rPr>
          <w:rFonts w:hint="eastAsia" w:ascii="宋体" w:hAnsi="宋体"/>
          <w:sz w:val="24"/>
          <w:szCs w:val="24"/>
          <w:highlight w:val="none"/>
        </w:rPr>
        <w:t>名　　称：</w:t>
      </w:r>
      <w:r>
        <w:rPr>
          <w:rFonts w:hint="eastAsia" w:ascii="宋体" w:hAnsi="宋体"/>
          <w:sz w:val="24"/>
          <w:szCs w:val="24"/>
          <w:highlight w:val="none"/>
          <w:u w:val="single"/>
        </w:rPr>
        <w:t>武汉富纳工程咨询有限公司</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地　　址：</w:t>
      </w:r>
      <w:r>
        <w:rPr>
          <w:rFonts w:hint="eastAsia" w:ascii="宋体" w:hAnsi="宋体"/>
          <w:sz w:val="24"/>
          <w:szCs w:val="24"/>
          <w:highlight w:val="none"/>
          <w:u w:val="single"/>
        </w:rPr>
        <w:t>咸宁市咸宁大道39号国际大厦B座100</w:t>
      </w:r>
      <w:r>
        <w:rPr>
          <w:rFonts w:hint="eastAsia" w:ascii="宋体" w:hAnsi="宋体"/>
          <w:sz w:val="24"/>
          <w:szCs w:val="24"/>
          <w:highlight w:val="none"/>
          <w:u w:val="single"/>
          <w:lang w:val="en-US" w:eastAsia="zh-CN"/>
        </w:rPr>
        <w:t>3</w:t>
      </w:r>
      <w:r>
        <w:rPr>
          <w:rFonts w:hint="eastAsia" w:ascii="宋体" w:hAnsi="宋体"/>
          <w:sz w:val="24"/>
          <w:szCs w:val="24"/>
          <w:highlight w:val="none"/>
          <w:u w:val="single"/>
        </w:rPr>
        <w:t>室</w:t>
      </w:r>
    </w:p>
    <w:p>
      <w:pPr>
        <w:spacing w:line="360" w:lineRule="auto"/>
        <w:ind w:firstLine="480" w:firstLineChars="200"/>
        <w:rPr>
          <w:rFonts w:hint="eastAsia" w:ascii="宋体" w:hAnsi="宋体" w:eastAsiaTheme="minorEastAsia"/>
          <w:sz w:val="24"/>
          <w:szCs w:val="24"/>
          <w:highlight w:val="none"/>
          <w:lang w:eastAsia="zh-CN"/>
        </w:rPr>
      </w:pPr>
      <w:r>
        <w:rPr>
          <w:rFonts w:hint="eastAsia" w:ascii="宋体" w:hAnsi="宋体"/>
          <w:sz w:val="24"/>
          <w:szCs w:val="24"/>
          <w:highlight w:val="none"/>
        </w:rPr>
        <w:t>联系方式：</w:t>
      </w:r>
      <w:bookmarkStart w:id="23" w:name="_Toc28359021"/>
      <w:bookmarkStart w:id="24" w:name="_Toc28359098"/>
      <w:bookmarkStart w:id="25" w:name="_Toc35393639"/>
      <w:bookmarkStart w:id="26" w:name="_Toc35393808"/>
      <w:r>
        <w:rPr>
          <w:rFonts w:hint="eastAsia" w:ascii="宋体" w:hAnsi="宋体"/>
          <w:sz w:val="24"/>
          <w:szCs w:val="24"/>
          <w:highlight w:val="none"/>
          <w:u w:val="single"/>
        </w:rPr>
        <w:t>周泉</w:t>
      </w:r>
      <w:r>
        <w:rPr>
          <w:rFonts w:hint="eastAsia" w:ascii="宋体" w:hAnsi="宋体"/>
          <w:sz w:val="24"/>
          <w:szCs w:val="24"/>
          <w:highlight w:val="none"/>
          <w:u w:val="single"/>
          <w:lang w:eastAsia="zh-CN"/>
        </w:rPr>
        <w:t>、</w:t>
      </w:r>
      <w:r>
        <w:rPr>
          <w:rFonts w:hint="eastAsia" w:ascii="宋体" w:hAnsi="宋体"/>
          <w:sz w:val="24"/>
          <w:szCs w:val="24"/>
          <w:highlight w:val="none"/>
          <w:u w:val="single"/>
        </w:rPr>
        <w:t>13871925233</w:t>
      </w:r>
    </w:p>
    <w:p>
      <w:pPr>
        <w:spacing w:line="360" w:lineRule="auto"/>
        <w:ind w:firstLine="480" w:firstLineChars="200"/>
        <w:rPr>
          <w:rFonts w:ascii="宋体" w:hAnsi="宋体" w:cs="Times New Roman"/>
          <w:sz w:val="24"/>
          <w:szCs w:val="24"/>
          <w:highlight w:val="none"/>
        </w:rPr>
      </w:pPr>
      <w:r>
        <w:rPr>
          <w:rFonts w:hint="eastAsia" w:ascii="宋体" w:hAnsi="宋体" w:cs="Times New Roman"/>
          <w:sz w:val="24"/>
          <w:szCs w:val="24"/>
          <w:highlight w:val="none"/>
        </w:rPr>
        <w:t>3、项目联系</w:t>
      </w:r>
      <w:r>
        <w:rPr>
          <w:rFonts w:ascii="宋体" w:hAnsi="宋体" w:cs="Times New Roman"/>
          <w:sz w:val="24"/>
          <w:szCs w:val="24"/>
          <w:highlight w:val="none"/>
        </w:rPr>
        <w:t>方式</w:t>
      </w:r>
      <w:bookmarkEnd w:id="23"/>
      <w:bookmarkEnd w:id="24"/>
      <w:bookmarkEnd w:id="25"/>
      <w:bookmarkEnd w:id="26"/>
    </w:p>
    <w:p>
      <w:pPr>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联 系 人：</w:t>
      </w:r>
      <w:r>
        <w:rPr>
          <w:rFonts w:hint="eastAsia" w:ascii="宋体" w:hAnsi="宋体"/>
          <w:sz w:val="24"/>
          <w:szCs w:val="24"/>
          <w:highlight w:val="none"/>
          <w:u w:val="single"/>
        </w:rPr>
        <w:t>周泉</w:t>
      </w:r>
    </w:p>
    <w:p>
      <w:pPr>
        <w:adjustRightInd w:val="0"/>
        <w:snapToGrid w:val="0"/>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电　　话：</w:t>
      </w:r>
      <w:r>
        <w:rPr>
          <w:rFonts w:hint="eastAsia" w:ascii="宋体" w:hAnsi="宋体"/>
          <w:sz w:val="24"/>
          <w:szCs w:val="24"/>
          <w:highlight w:val="none"/>
          <w:u w:val="single"/>
        </w:rPr>
        <w:t>13871925233</w:t>
      </w:r>
    </w:p>
    <w:p>
      <w:pPr>
        <w:rPr>
          <w:highlight w:val="none"/>
        </w:rPr>
      </w:pPr>
      <w:r>
        <w:rPr>
          <w:highlight w:val="none"/>
        </w:rPr>
        <w:br w:type="page"/>
      </w:r>
    </w:p>
    <w:p>
      <w:pPr>
        <w:pStyle w:val="3"/>
        <w:jc w:val="center"/>
        <w:rPr>
          <w:sz w:val="36"/>
          <w:szCs w:val="36"/>
          <w:highlight w:val="none"/>
        </w:rPr>
      </w:pPr>
      <w:bookmarkStart w:id="27" w:name="_Toc65158779"/>
      <w:r>
        <w:rPr>
          <w:rFonts w:hint="eastAsia"/>
          <w:sz w:val="36"/>
          <w:szCs w:val="36"/>
          <w:highlight w:val="none"/>
        </w:rPr>
        <w:t>供应商须知</w:t>
      </w:r>
      <w:bookmarkEnd w:id="27"/>
    </w:p>
    <w:p>
      <w:pPr>
        <w:pStyle w:val="4"/>
        <w:numPr>
          <w:ilvl w:val="0"/>
          <w:numId w:val="0"/>
        </w:numPr>
        <w:jc w:val="center"/>
        <w:rPr>
          <w:sz w:val="32"/>
          <w:highlight w:val="none"/>
        </w:rPr>
      </w:pPr>
      <w:bookmarkStart w:id="28" w:name="_Toc65158780"/>
      <w:r>
        <w:rPr>
          <w:rFonts w:hint="eastAsia"/>
          <w:sz w:val="32"/>
          <w:highlight w:val="none"/>
        </w:rPr>
        <w:t>供应商</w:t>
      </w:r>
      <w:r>
        <w:rPr>
          <w:sz w:val="32"/>
          <w:highlight w:val="none"/>
        </w:rPr>
        <w:t>须知前附表</w:t>
      </w:r>
      <w:bookmarkEnd w:id="28"/>
    </w:p>
    <w:tbl>
      <w:tblPr>
        <w:tblStyle w:val="3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18"/>
        <w:gridCol w:w="1486"/>
        <w:gridCol w:w="70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blHeader/>
        </w:trPr>
        <w:tc>
          <w:tcPr>
            <w:tcW w:w="339" w:type="pct"/>
            <w:tcBorders>
              <w:top w:val="single" w:color="auto" w:sz="4" w:space="0"/>
              <w:bottom w:val="single" w:color="auto" w:sz="4" w:space="0"/>
              <w:right w:val="single" w:color="auto" w:sz="4" w:space="0"/>
            </w:tcBorders>
            <w:shd w:val="clear" w:color="auto" w:fill="BEBEBE" w:themeFill="background1" w:themeFillShade="BF"/>
            <w:vAlign w:val="center"/>
          </w:tcPr>
          <w:p>
            <w:pPr>
              <w:ind w:left="-65" w:leftChars="-31" w:right="-80" w:rightChars="-38"/>
              <w:jc w:val="center"/>
              <w:rPr>
                <w:rFonts w:ascii="宋体" w:hAnsi="宋体" w:eastAsia="宋体" w:cs="Times New Roman"/>
                <w:bCs/>
                <w:sz w:val="24"/>
                <w:szCs w:val="24"/>
                <w:highlight w:val="none"/>
              </w:rPr>
            </w:pPr>
            <w:r>
              <w:rPr>
                <w:rFonts w:ascii="宋体" w:hAnsi="宋体" w:eastAsia="宋体" w:cs="Times New Roman"/>
                <w:bCs/>
                <w:sz w:val="24"/>
                <w:szCs w:val="24"/>
                <w:highlight w:val="none"/>
              </w:rPr>
              <w:t>序号</w:t>
            </w:r>
          </w:p>
        </w:tc>
        <w:tc>
          <w:tcPr>
            <w:tcW w:w="815"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条款名称</w:t>
            </w:r>
          </w:p>
        </w:tc>
        <w:tc>
          <w:tcPr>
            <w:tcW w:w="3846" w:type="pct"/>
            <w:tcBorders>
              <w:top w:val="single" w:color="auto" w:sz="4" w:space="0"/>
              <w:left w:val="single" w:color="auto" w:sz="4" w:space="0"/>
              <w:bottom w:val="single" w:color="auto" w:sz="4" w:space="0"/>
            </w:tcBorders>
            <w:shd w:val="clear" w:color="auto" w:fill="BEBEBE" w:themeFill="background1" w:themeFillShade="BF"/>
            <w:vAlign w:val="center"/>
          </w:tcPr>
          <w:p>
            <w:pPr>
              <w:ind w:left="57" w:right="57" w:firstLine="482" w:firstLineChars="201"/>
              <w:jc w:val="center"/>
              <w:rPr>
                <w:rFonts w:ascii="Times New Roman" w:hAnsi="Times New Roman" w:eastAsia="宋体" w:cs="Times New Roman"/>
                <w:bCs/>
                <w:sz w:val="24"/>
                <w:szCs w:val="24"/>
                <w:highlight w:val="none"/>
              </w:rPr>
            </w:pPr>
            <w:r>
              <w:rPr>
                <w:rFonts w:ascii="Times New Roman" w:hAnsi="宋体" w:eastAsia="宋体" w:cs="Times New Roman"/>
                <w:bCs/>
                <w:sz w:val="24"/>
                <w:szCs w:val="24"/>
                <w:highlight w:val="none"/>
              </w:rPr>
              <w:t>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采购人</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ascii="宋体" w:hAnsi="宋体" w:eastAsia="宋体" w:cs="Times New Roman"/>
                <w:bCs/>
                <w:sz w:val="24"/>
                <w:szCs w:val="24"/>
                <w:highlight w:val="none"/>
              </w:rPr>
              <w:t>湖北科技学院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hint="eastAsia" w:ascii="Times New Roman" w:hAnsi="宋体" w:eastAsia="宋体" w:cs="Times New Roman"/>
                <w:bCs/>
                <w:sz w:val="24"/>
                <w:szCs w:val="24"/>
                <w:highlight w:val="none"/>
              </w:rPr>
            </w:pPr>
            <w:r>
              <w:rPr>
                <w:rFonts w:hint="eastAsia" w:ascii="宋体" w:hAnsi="宋体" w:eastAsia="宋体" w:cs="Times New Roman"/>
                <w:bCs/>
                <w:sz w:val="24"/>
                <w:szCs w:val="24"/>
                <w:highlight w:val="none"/>
              </w:rPr>
              <w:t>代理机构</w:t>
            </w:r>
          </w:p>
        </w:tc>
        <w:tc>
          <w:tcPr>
            <w:tcW w:w="3846" w:type="pct"/>
            <w:tcBorders>
              <w:top w:val="single" w:color="auto" w:sz="4" w:space="0"/>
              <w:left w:val="single" w:color="auto" w:sz="4" w:space="0"/>
              <w:bottom w:val="single" w:color="auto" w:sz="4" w:space="0"/>
            </w:tcBorders>
            <w:shd w:val="clear" w:color="auto" w:fill="auto"/>
            <w:vAlign w:val="center"/>
          </w:tcPr>
          <w:p>
            <w:pPr>
              <w:rPr>
                <w:rFonts w:hint="eastAsia" w:ascii="宋体" w:hAnsi="宋体" w:eastAsia="宋体" w:cs="Times New Roman"/>
                <w:bCs/>
                <w:sz w:val="24"/>
                <w:szCs w:val="24"/>
                <w:highlight w:val="none"/>
              </w:rPr>
            </w:pPr>
            <w:r>
              <w:rPr>
                <w:rFonts w:hint="eastAsia" w:ascii="宋体" w:hAnsi="宋体"/>
                <w:sz w:val="24"/>
                <w:szCs w:val="24"/>
                <w:highlight w:val="none"/>
              </w:rPr>
              <w:t>武汉富纳工程咨询有限公司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项目编号</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hAnsi="宋体" w:eastAsia="宋体" w:cs="Times New Roman"/>
                <w:bCs/>
                <w:sz w:val="24"/>
                <w:szCs w:val="24"/>
                <w:highlight w:val="none"/>
              </w:rPr>
            </w:pPr>
            <w:r>
              <w:rPr>
                <w:rFonts w:hint="eastAsia" w:ascii="宋体" w:hAnsi="宋体"/>
                <w:sz w:val="24"/>
                <w:szCs w:val="24"/>
                <w:highlight w:val="none"/>
              </w:rPr>
              <w:t>HK2021-073-Z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项目名称</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ascii="宋体" w:hAnsi="宋体"/>
                <w:sz w:val="24"/>
                <w:szCs w:val="24"/>
                <w:highlight w:val="none"/>
              </w:rPr>
              <w:t>湖北科技学院新增</w:t>
            </w:r>
            <w:r>
              <w:rPr>
                <w:rFonts w:hint="eastAsia" w:ascii="宋体" w:hAnsi="宋体"/>
                <w:sz w:val="24"/>
                <w:szCs w:val="24"/>
                <w:highlight w:val="none"/>
                <w:lang w:eastAsia="zh-CN"/>
              </w:rPr>
              <w:t>视频</w:t>
            </w:r>
            <w:r>
              <w:rPr>
                <w:rFonts w:hint="eastAsia" w:ascii="宋体" w:hAnsi="宋体"/>
                <w:sz w:val="24"/>
                <w:szCs w:val="24"/>
                <w:highlight w:val="none"/>
              </w:rPr>
              <w:t>监控摄像头及维护采购项目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项目属性</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hAnsi="宋体" w:eastAsia="宋体" w:cs="宋体"/>
                <w:bCs/>
                <w:kern w:val="0"/>
                <w:sz w:val="24"/>
                <w:szCs w:val="24"/>
                <w:highlight w:val="none"/>
              </w:rPr>
            </w:pPr>
            <w:r>
              <w:rPr>
                <w:rFonts w:hint="eastAsia" w:ascii="宋体" w:hAnsi="宋体" w:eastAsia="宋体"/>
                <w:sz w:val="24"/>
                <w:szCs w:val="24"/>
                <w:highlight w:val="none"/>
                <w:lang w:eastAsia="zh-CN"/>
              </w:rPr>
              <w:t>□</w:t>
            </w:r>
            <w:r>
              <w:rPr>
                <w:rFonts w:hint="eastAsia" w:ascii="宋体" w:hAnsi="宋体"/>
                <w:sz w:val="24"/>
                <w:szCs w:val="24"/>
                <w:highlight w:val="none"/>
              </w:rPr>
              <w:t xml:space="preserve">工程 </w:t>
            </w:r>
            <w:r>
              <w:rPr>
                <w:rFonts w:ascii="宋体" w:hAnsi="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货物 </w:t>
            </w:r>
            <w:r>
              <w:rPr>
                <w:rFonts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资金来源</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hAnsi="宋体" w:eastAsia="宋体" w:cs="宋体"/>
                <w:bCs/>
                <w:kern w:val="0"/>
                <w:sz w:val="24"/>
                <w:szCs w:val="24"/>
                <w:highlight w:val="none"/>
              </w:rPr>
            </w:pPr>
            <w:r>
              <w:rPr>
                <w:rFonts w:ascii="宋体" w:cs="宋体"/>
                <w:color w:val="000000" w:themeColor="text1"/>
                <w:sz w:val="24"/>
                <w:szCs w:val="24"/>
                <w:highlight w:val="none"/>
                <w14:textFill>
                  <w14:solidFill>
                    <w14:schemeClr w14:val="tx1"/>
                  </w14:solidFill>
                </w14:textFill>
              </w:rPr>
              <w:t>财政资金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中小企业</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Times New Roman" w:hAnsi="Times New Roman" w:eastAsia="宋体" w:cs="Times New Roman"/>
                <w:bCs/>
                <w:sz w:val="24"/>
                <w:szCs w:val="24"/>
                <w:highlight w:val="none"/>
              </w:rPr>
              <w:t>非专门面向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监狱企业</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Times New Roman" w:hAnsi="Times New Roman" w:eastAsia="宋体" w:cs="Times New Roman"/>
                <w:bCs/>
                <w:sz w:val="24"/>
                <w:szCs w:val="24"/>
                <w:highlight w:val="none"/>
              </w:rPr>
              <w:t>非专门面向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实物样品</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Times New Roman"/>
                <w:bCs/>
                <w:sz w:val="24"/>
                <w:szCs w:val="24"/>
                <w:highlight w:val="none"/>
              </w:rPr>
              <w:t>不提交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130"/>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现场考察</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Times New Roman"/>
                <w:bCs/>
                <w:sz w:val="24"/>
                <w:szCs w:val="24"/>
                <w:highlight w:val="none"/>
              </w:rPr>
              <w:t>不组织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备选方案</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Times New Roman"/>
                <w:bCs/>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磋商有效期</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cs="宋体"/>
                <w:color w:val="000000" w:themeColor="text1"/>
                <w:sz w:val="24"/>
                <w:szCs w:val="24"/>
                <w:highlight w:val="none"/>
                <w14:textFill>
                  <w14:solidFill>
                    <w14:schemeClr w14:val="tx1"/>
                  </w14:solidFill>
                </w14:textFill>
              </w:rPr>
            </w:pPr>
            <w:r>
              <w:rPr>
                <w:rFonts w:hint="eastAsia" w:ascii="宋体" w:hAnsi="宋体" w:eastAsia="宋体" w:cs="宋体"/>
                <w:bCs/>
                <w:kern w:val="0"/>
                <w:sz w:val="24"/>
                <w:szCs w:val="24"/>
                <w:highlight w:val="none"/>
              </w:rPr>
              <w:t>提交竞争性磋商响应文件截止之日起90日历日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响应文件</w:t>
            </w:r>
          </w:p>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份数</w:t>
            </w:r>
          </w:p>
        </w:tc>
        <w:tc>
          <w:tcPr>
            <w:tcW w:w="3846" w:type="pct"/>
            <w:tcBorders>
              <w:top w:val="single" w:color="auto" w:sz="4" w:space="0"/>
              <w:left w:val="single" w:color="auto" w:sz="4" w:space="0"/>
              <w:bottom w:val="single" w:color="auto" w:sz="4" w:space="0"/>
            </w:tcBorders>
            <w:shd w:val="clear" w:color="auto" w:fill="auto"/>
            <w:vAlign w:val="center"/>
          </w:tcPr>
          <w:p>
            <w:pPr>
              <w:rPr>
                <w:rFonts w:ascii="宋体" w:hAnsi="宋体" w:eastAsia="宋体" w:cs="宋体"/>
                <w:bCs/>
                <w:kern w:val="0"/>
                <w:sz w:val="24"/>
                <w:szCs w:val="24"/>
                <w:highlight w:val="none"/>
              </w:rPr>
            </w:pPr>
            <w:r>
              <w:rPr>
                <w:rFonts w:hint="eastAsia" w:ascii="宋体" w:hAnsi="宋体" w:cs="宋体"/>
                <w:color w:val="000000" w:themeColor="text1"/>
                <w:sz w:val="24"/>
                <w:szCs w:val="24"/>
                <w:highlight w:val="none"/>
                <w14:textFill>
                  <w14:solidFill>
                    <w14:schemeClr w14:val="tx1"/>
                  </w14:solidFill>
                </w14:textFill>
              </w:rPr>
              <w:t>正本</w:t>
            </w:r>
            <w:r>
              <w:rPr>
                <w:rFonts w:ascii="宋体" w:hAnsi="宋体" w:cs="宋体"/>
                <w:color w:val="000000" w:themeColor="text1"/>
                <w:sz w:val="24"/>
                <w:szCs w:val="24"/>
                <w:highlight w:val="none"/>
                <w:u w:val="single"/>
                <w14:textFill>
                  <w14:solidFill>
                    <w14:schemeClr w14:val="tx1"/>
                  </w14:solidFill>
                </w14:textFill>
              </w:rPr>
              <w:t xml:space="preserve"> 1 </w:t>
            </w:r>
            <w:r>
              <w:rPr>
                <w:rFonts w:hint="eastAsia" w:ascii="宋体" w:hAnsi="宋体" w:cs="宋体"/>
                <w:color w:val="000000" w:themeColor="text1"/>
                <w:sz w:val="24"/>
                <w:szCs w:val="24"/>
                <w:highlight w:val="none"/>
                <w14:textFill>
                  <w14:solidFill>
                    <w14:schemeClr w14:val="tx1"/>
                  </w14:solidFill>
                </w14:textFill>
              </w:rPr>
              <w:t>份，副本</w:t>
            </w:r>
            <w:r>
              <w:rPr>
                <w:rFonts w:ascii="宋体" w:hAnsi="宋体" w:cs="宋体"/>
                <w:color w:val="000000" w:themeColor="text1"/>
                <w:sz w:val="24"/>
                <w:szCs w:val="24"/>
                <w:highlight w:val="none"/>
                <w:u w:val="single"/>
                <w14:textFill>
                  <w14:solidFill>
                    <w14:schemeClr w14:val="tx1"/>
                  </w14:solidFill>
                </w14:textFill>
              </w:rPr>
              <w:t xml:space="preserve"> 2 </w:t>
            </w:r>
            <w:r>
              <w:rPr>
                <w:rFonts w:hint="eastAsia" w:ascii="宋体" w:hAnsi="宋体" w:cs="宋体"/>
                <w:color w:val="000000" w:themeColor="text1"/>
                <w:sz w:val="24"/>
                <w:szCs w:val="24"/>
                <w:highlight w:val="none"/>
                <w14:textFill>
                  <w14:solidFill>
                    <w14:schemeClr w14:val="tx1"/>
                  </w14:solidFill>
                </w14:textFill>
              </w:rPr>
              <w:t>份，电子版</w:t>
            </w:r>
            <w:r>
              <w:rPr>
                <w:rFonts w:ascii="宋体" w:hAnsi="宋体" w:cs="宋体"/>
                <w:color w:val="000000" w:themeColor="text1"/>
                <w:sz w:val="24"/>
                <w:szCs w:val="24"/>
                <w:highlight w:val="none"/>
                <w:u w:val="single"/>
                <w14:textFill>
                  <w14:solidFill>
                    <w14:schemeClr w14:val="tx1"/>
                  </w14:solidFill>
                </w14:textFill>
              </w:rPr>
              <w:t xml:space="preserve"> 1 </w:t>
            </w:r>
            <w:r>
              <w:rPr>
                <w:rFonts w:hint="eastAsia" w:ascii="宋体" w:hAnsi="宋体" w:cs="宋体"/>
                <w:color w:val="000000" w:themeColor="text1"/>
                <w:sz w:val="24"/>
                <w:szCs w:val="24"/>
                <w:highlight w:val="none"/>
                <w14:textFill>
                  <w14:solidFill>
                    <w14:schemeClr w14:val="tx1"/>
                  </w14:solidFill>
                </w14:textFill>
              </w:rPr>
              <w:t>份（</w:t>
            </w:r>
            <w:r>
              <w:rPr>
                <w:rFonts w:ascii="宋体" w:hAnsi="宋体" w:cs="宋体"/>
                <w:color w:val="000000" w:themeColor="text1"/>
                <w:sz w:val="24"/>
                <w:szCs w:val="24"/>
                <w:highlight w:val="none"/>
                <w14:textFill>
                  <w14:solidFill>
                    <w14:schemeClr w14:val="tx1"/>
                  </w14:solidFill>
                </w14:textFill>
              </w:rPr>
              <w:t>U</w:t>
            </w:r>
            <w:r>
              <w:rPr>
                <w:rFonts w:hint="eastAsia" w:ascii="宋体" w:hAnsi="宋体" w:cs="宋体"/>
                <w:color w:val="000000" w:themeColor="text1"/>
                <w:sz w:val="24"/>
                <w:szCs w:val="24"/>
                <w:highlight w:val="none"/>
                <w14:textFill>
                  <w14:solidFill>
                    <w14:schemeClr w14:val="tx1"/>
                  </w14:solidFill>
                </w14:textFill>
              </w:rPr>
              <w:t>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响应文件递交截止时间及地点</w:t>
            </w:r>
          </w:p>
        </w:tc>
        <w:tc>
          <w:tcPr>
            <w:tcW w:w="3846" w:type="pct"/>
            <w:tcBorders>
              <w:top w:val="single" w:color="auto" w:sz="4" w:space="0"/>
              <w:left w:val="single" w:color="auto" w:sz="4" w:space="0"/>
              <w:bottom w:val="single" w:color="auto" w:sz="4" w:space="0"/>
            </w:tcBorders>
            <w:shd w:val="clear" w:color="auto" w:fill="auto"/>
            <w:vAlign w:val="center"/>
          </w:tcPr>
          <w:p>
            <w:pPr>
              <w:autoSpaceDE w:val="0"/>
              <w:autoSpaceDN w:val="0"/>
              <w:adjustRightInd w:val="0"/>
              <w:snapToGrid w:val="0"/>
              <w:spacing w:line="280" w:lineRule="exact"/>
              <w:jc w:val="left"/>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zh-CN"/>
                <w14:textFill>
                  <w14:solidFill>
                    <w14:schemeClr w14:val="tx1"/>
                  </w14:solidFill>
                </w14:textFill>
              </w:rPr>
              <w:t>截止时间：</w:t>
            </w:r>
            <w:r>
              <w:rPr>
                <w:rFonts w:hint="eastAsia" w:ascii="宋体" w:hAnsi="宋体"/>
                <w:sz w:val="24"/>
                <w:szCs w:val="24"/>
                <w:highlight w:val="none"/>
              </w:rPr>
              <w:t>202</w:t>
            </w:r>
            <w:r>
              <w:rPr>
                <w:rFonts w:ascii="宋体" w:hAnsi="宋体"/>
                <w:sz w:val="24"/>
                <w:szCs w:val="24"/>
                <w:highlight w:val="none"/>
              </w:rPr>
              <w:t>1</w:t>
            </w:r>
            <w:r>
              <w:rPr>
                <w:rFonts w:hint="eastAsia" w:ascii="宋体" w:hAnsi="宋体"/>
                <w:sz w:val="24"/>
                <w:szCs w:val="24"/>
                <w:highlight w:val="none"/>
              </w:rPr>
              <w:t>年</w:t>
            </w:r>
            <w:r>
              <w:rPr>
                <w:rFonts w:hint="eastAsia" w:ascii="宋体" w:hAnsi="宋体"/>
                <w:sz w:val="24"/>
                <w:szCs w:val="24"/>
                <w:highlight w:val="none"/>
                <w:lang w:val="en-US" w:eastAsia="zh-CN"/>
              </w:rPr>
              <w:t>8</w:t>
            </w:r>
            <w:r>
              <w:rPr>
                <w:rFonts w:hint="eastAsia" w:ascii="宋体" w:hAnsi="宋体"/>
                <w:sz w:val="24"/>
                <w:szCs w:val="24"/>
                <w:highlight w:val="none"/>
              </w:rPr>
              <w:t>月</w:t>
            </w:r>
            <w:r>
              <w:rPr>
                <w:rFonts w:hint="eastAsia" w:ascii="宋体" w:hAnsi="宋体"/>
                <w:sz w:val="24"/>
                <w:szCs w:val="24"/>
                <w:highlight w:val="none"/>
                <w:lang w:val="en-US" w:eastAsia="zh-CN"/>
              </w:rPr>
              <w:t>27</w:t>
            </w:r>
            <w:r>
              <w:rPr>
                <w:rFonts w:hint="eastAsia" w:ascii="宋体" w:hAnsi="宋体"/>
                <w:sz w:val="24"/>
                <w:szCs w:val="24"/>
                <w:highlight w:val="none"/>
              </w:rPr>
              <w:t>日</w:t>
            </w:r>
            <w:r>
              <w:rPr>
                <w:rFonts w:hint="eastAsia" w:ascii="宋体" w:hAnsi="宋体"/>
                <w:sz w:val="24"/>
                <w:szCs w:val="24"/>
                <w:highlight w:val="none"/>
                <w:lang w:val="en-US" w:eastAsia="zh-CN"/>
              </w:rPr>
              <w:t>15</w:t>
            </w:r>
            <w:r>
              <w:rPr>
                <w:rFonts w:hint="eastAsia" w:ascii="宋体" w:hAnsi="宋体"/>
                <w:sz w:val="24"/>
                <w:szCs w:val="24"/>
                <w:highlight w:val="none"/>
              </w:rPr>
              <w:t>点00分（北京时间）</w:t>
            </w:r>
          </w:p>
          <w:p>
            <w:pPr>
              <w:rPr>
                <w:rFonts w:ascii="Times New Roman" w:hAnsi="Times New Roman" w:eastAsia="宋体" w:cs="Times New Roman"/>
                <w:bCs/>
                <w:sz w:val="24"/>
                <w:szCs w:val="24"/>
                <w:highlight w:val="none"/>
              </w:rPr>
            </w:pPr>
            <w:r>
              <w:rPr>
                <w:rFonts w:hint="eastAsia" w:ascii="宋体" w:hAnsi="宋体" w:cs="宋体"/>
                <w:color w:val="000000" w:themeColor="text1"/>
                <w:sz w:val="24"/>
                <w:szCs w:val="24"/>
                <w:highlight w:val="none"/>
                <w:lang w:val="zh-CN"/>
                <w14:textFill>
                  <w14:solidFill>
                    <w14:schemeClr w14:val="tx1"/>
                  </w14:solidFill>
                </w14:textFill>
              </w:rPr>
              <w:t>递交地点：咸宁市咸宁大道39号国际大厦B座100</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cs="宋体"/>
                <w:color w:val="000000" w:themeColor="text1"/>
                <w:sz w:val="24"/>
                <w:szCs w:val="24"/>
                <w:highlight w:val="none"/>
                <w:lang w:val="zh-CN"/>
                <w14:textFill>
                  <w14:solidFill>
                    <w14:schemeClr w14:val="tx1"/>
                  </w14:solidFill>
                </w14:textFill>
              </w:rPr>
              <w:t>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磋商小组的组建</w:t>
            </w:r>
          </w:p>
        </w:tc>
        <w:tc>
          <w:tcPr>
            <w:tcW w:w="3846" w:type="pct"/>
            <w:tcBorders>
              <w:top w:val="single" w:color="auto" w:sz="4" w:space="0"/>
              <w:left w:val="single" w:color="auto" w:sz="4" w:space="0"/>
              <w:bottom w:val="single" w:color="auto" w:sz="4" w:space="0"/>
            </w:tcBorders>
            <w:shd w:val="clear" w:color="auto" w:fill="auto"/>
            <w:vAlign w:val="center"/>
          </w:tcPr>
          <w:p>
            <w:pPr>
              <w:adjustRightInd w:val="0"/>
              <w:snapToGrid w:val="0"/>
              <w:spacing w:line="280" w:lineRule="exact"/>
              <w:jc w:val="left"/>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磋商小组构成：</w:t>
            </w:r>
            <w:r>
              <w:rPr>
                <w:rFonts w:ascii="宋体" w:hAnsi="宋体" w:cs="宋体"/>
                <w:color w:val="000000" w:themeColor="text1"/>
                <w:sz w:val="24"/>
                <w:szCs w:val="24"/>
                <w:highlight w:val="none"/>
                <w:u w:val="singl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人，其中采购人代表</w:t>
            </w:r>
            <w:r>
              <w:rPr>
                <w:rFonts w:ascii="宋体" w:hAnsi="宋体" w:cs="宋体"/>
                <w:color w:val="000000" w:themeColor="text1"/>
                <w:sz w:val="24"/>
                <w:szCs w:val="24"/>
                <w:highlight w:val="none"/>
                <w:u w:val="singl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人，评审专家</w:t>
            </w:r>
            <w:r>
              <w:rPr>
                <w:rFonts w:ascii="宋体" w:hAnsi="宋体" w:cs="宋体"/>
                <w:color w:val="000000" w:themeColor="text1"/>
                <w:sz w:val="24"/>
                <w:szCs w:val="24"/>
                <w:highlight w:val="none"/>
                <w:u w:val="singl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人；</w:t>
            </w:r>
          </w:p>
          <w:p>
            <w:pPr>
              <w:rPr>
                <w:rFonts w:cs="Times New Roman" w:asciiTheme="minorEastAsia" w:hAnsiTheme="minorEastAsia"/>
                <w:bCs/>
                <w:sz w:val="24"/>
                <w:szCs w:val="24"/>
                <w:highlight w:val="none"/>
              </w:rPr>
            </w:pPr>
            <w:r>
              <w:rPr>
                <w:rFonts w:hint="eastAsia" w:ascii="宋体" w:hAnsi="宋体" w:cs="宋体"/>
                <w:color w:val="000000" w:themeColor="text1"/>
                <w:sz w:val="24"/>
                <w:szCs w:val="24"/>
                <w:highlight w:val="none"/>
                <w14:textFill>
                  <w14:solidFill>
                    <w14:schemeClr w14:val="tx1"/>
                  </w14:solidFill>
                </w14:textFill>
              </w:rPr>
              <w:t>评审专家确定方式：从湖北省政府采购评审专家管理系统</w:t>
            </w:r>
            <w:r>
              <w:rPr>
                <w:rFonts w:hint="eastAsia" w:ascii="宋体" w:hAnsi="宋体" w:cs="宋体"/>
                <w:color w:val="000000" w:themeColor="text1"/>
                <w:sz w:val="24"/>
                <w:szCs w:val="24"/>
                <w:highlight w:val="none"/>
                <w:lang w:val="zh-CN"/>
                <w14:textFill>
                  <w14:solidFill>
                    <w14:schemeClr w14:val="tx1"/>
                  </w14:solidFill>
                </w14:textFill>
              </w:rPr>
              <w:t>专家库中随机抽取</w:t>
            </w:r>
            <w:r>
              <w:rPr>
                <w:rFonts w:hint="eastAsia" w:ascii="宋体" w:hAnsi="宋体" w:cs="宋体"/>
                <w:color w:val="000000" w:themeColor="text1"/>
                <w:sz w:val="24"/>
                <w:szCs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ascii="Times New Roman" w:hAnsi="宋体" w:eastAsia="宋体" w:cs="Times New Roman"/>
                <w:bCs/>
                <w:sz w:val="24"/>
                <w:szCs w:val="24"/>
                <w:highlight w:val="none"/>
              </w:rPr>
              <w:t>评审办法</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综合评分法</w:t>
            </w:r>
          </w:p>
          <w:p>
            <w:pP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详见第四章“评审标准及方法”要求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成交供应商</w:t>
            </w:r>
          </w:p>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的确定</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成交采用下述的第</w:t>
            </w:r>
            <w:r>
              <w:rPr>
                <w:rFonts w:hint="eastAsia" w:ascii="Times New Roman" w:hAnsi="Times New Roman" w:eastAsia="宋体" w:cs="Times New Roman"/>
                <w:bCs/>
                <w:sz w:val="24"/>
                <w:szCs w:val="24"/>
                <w:highlight w:val="none"/>
                <w:u w:val="single"/>
              </w:rPr>
              <w:t xml:space="preserve"> </w:t>
            </w:r>
            <w:r>
              <w:rPr>
                <w:rFonts w:ascii="Times New Roman" w:hAnsi="Times New Roman" w:eastAsia="宋体" w:cs="Times New Roman"/>
                <w:bCs/>
                <w:sz w:val="24"/>
                <w:szCs w:val="24"/>
                <w:highlight w:val="none"/>
                <w:u w:val="single"/>
              </w:rPr>
              <w:t xml:space="preserve">1 </w:t>
            </w:r>
            <w:r>
              <w:rPr>
                <w:rFonts w:hint="eastAsia" w:ascii="Times New Roman" w:hAnsi="Times New Roman" w:eastAsia="宋体" w:cs="Times New Roman"/>
                <w:bCs/>
                <w:sz w:val="24"/>
                <w:szCs w:val="24"/>
                <w:highlight w:val="none"/>
              </w:rPr>
              <w:t>种规定执行——</w:t>
            </w:r>
          </w:p>
          <w:p>
            <w:pPr>
              <w:pStyle w:val="50"/>
              <w:numPr>
                <w:ilvl w:val="0"/>
                <w:numId w:val="3"/>
              </w:numPr>
              <w:ind w:firstLineChars="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采购人确定；</w:t>
            </w:r>
          </w:p>
          <w:p>
            <w:pPr>
              <w:pStyle w:val="50"/>
              <w:numPr>
                <w:ilvl w:val="0"/>
                <w:numId w:val="3"/>
              </w:numPr>
              <w:ind w:firstLineChars="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采购人委托磋商小组确定。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成交后分包</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不允许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339" w:type="pct"/>
            <w:tcBorders>
              <w:top w:val="single" w:color="auto" w:sz="4" w:space="0"/>
              <w:bottom w:val="single" w:color="auto" w:sz="4" w:space="0"/>
              <w:right w:val="single" w:color="auto" w:sz="4" w:space="0"/>
            </w:tcBorders>
            <w:shd w:val="clear" w:color="auto" w:fill="auto"/>
            <w:vAlign w:val="center"/>
          </w:tcPr>
          <w:p>
            <w:pPr>
              <w:numPr>
                <w:ilvl w:val="0"/>
                <w:numId w:val="2"/>
              </w:numPr>
              <w:tabs>
                <w:tab w:val="left" w:pos="242"/>
              </w:tabs>
              <w:ind w:right="57"/>
              <w:jc w:val="center"/>
              <w:rPr>
                <w:rFonts w:ascii="宋体" w:hAnsi="宋体" w:eastAsia="宋体" w:cs="Times New Roman"/>
                <w:bCs/>
                <w:sz w:val="24"/>
                <w:szCs w:val="24"/>
                <w:highlight w:val="none"/>
              </w:rPr>
            </w:pPr>
          </w:p>
        </w:tc>
        <w:tc>
          <w:tcPr>
            <w:tcW w:w="815" w:type="pct"/>
            <w:tcBorders>
              <w:top w:val="single" w:color="auto" w:sz="4" w:space="0"/>
              <w:left w:val="single" w:color="auto" w:sz="4" w:space="0"/>
              <w:bottom w:val="single" w:color="auto" w:sz="4" w:space="0"/>
              <w:right w:val="single" w:color="auto" w:sz="4" w:space="0"/>
            </w:tcBorders>
            <w:shd w:val="clear" w:color="auto" w:fill="auto"/>
            <w:vAlign w:val="center"/>
          </w:tcPr>
          <w:p>
            <w:pPr>
              <w:ind w:left="-50" w:leftChars="-24" w:right="-65" w:rightChars="-31"/>
              <w:jc w:val="center"/>
              <w:rPr>
                <w:rFonts w:ascii="Times New Roman" w:hAnsi="宋体" w:eastAsia="宋体" w:cs="Times New Roman"/>
                <w:bCs/>
                <w:sz w:val="24"/>
                <w:szCs w:val="24"/>
                <w:highlight w:val="none"/>
              </w:rPr>
            </w:pPr>
            <w:r>
              <w:rPr>
                <w:rFonts w:hint="eastAsia" w:ascii="Times New Roman" w:hAnsi="宋体" w:eastAsia="宋体" w:cs="Times New Roman"/>
                <w:bCs/>
                <w:sz w:val="24"/>
                <w:szCs w:val="24"/>
                <w:highlight w:val="none"/>
              </w:rPr>
              <w:t>公告媒体</w:t>
            </w:r>
          </w:p>
        </w:tc>
        <w:tc>
          <w:tcPr>
            <w:tcW w:w="3846" w:type="pct"/>
            <w:tcBorders>
              <w:top w:val="single" w:color="auto" w:sz="4" w:space="0"/>
              <w:left w:val="single" w:color="auto" w:sz="4" w:space="0"/>
              <w:bottom w:val="single" w:color="auto" w:sz="4" w:space="0"/>
            </w:tcBorders>
            <w:shd w:val="clear" w:color="auto" w:fill="auto"/>
            <w:vAlign w:val="center"/>
          </w:tcPr>
          <w:p>
            <w:pPr>
              <w:rPr>
                <w:rFonts w:ascii="Times New Roman" w:hAnsi="Times New Roman" w:eastAsia="宋体" w:cs="Times New Roman"/>
                <w:bCs/>
                <w:sz w:val="24"/>
                <w:szCs w:val="24"/>
                <w:highlight w:val="none"/>
              </w:rPr>
            </w:pPr>
            <w:r>
              <w:rPr>
                <w:rFonts w:hint="eastAsia" w:cs="Times New Roman" w:asciiTheme="minorEastAsia" w:hAnsiTheme="minorEastAsia"/>
                <w:bCs/>
                <w:sz w:val="24"/>
                <w:szCs w:val="24"/>
                <w:highlight w:val="none"/>
              </w:rPr>
              <w:t>详见竞争性磋商公告指明公告媒体</w:t>
            </w:r>
          </w:p>
        </w:tc>
      </w:tr>
    </w:tbl>
    <w:p>
      <w:pPr>
        <w:adjustRightInd w:val="0"/>
        <w:snapToGrid w:val="0"/>
        <w:spacing w:line="280" w:lineRule="exac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注：本表是对供应商须知的具体补充和修改，如有矛盾，应以本表为准。</w:t>
      </w:r>
    </w:p>
    <w:p>
      <w:pPr>
        <w:pStyle w:val="4"/>
        <w:jc w:val="center"/>
        <w:rPr>
          <w:sz w:val="32"/>
          <w:highlight w:val="none"/>
        </w:rPr>
      </w:pPr>
      <w:bookmarkStart w:id="29" w:name="_Toc65158781"/>
      <w:r>
        <w:rPr>
          <w:rFonts w:hint="eastAsia"/>
          <w:sz w:val="32"/>
          <w:highlight w:val="none"/>
        </w:rPr>
        <w:t>说</w:t>
      </w:r>
      <w:r>
        <w:rPr>
          <w:sz w:val="32"/>
          <w:highlight w:val="none"/>
        </w:rPr>
        <w:t>明</w:t>
      </w:r>
      <w:bookmarkEnd w:id="29"/>
    </w:p>
    <w:p>
      <w:pPr>
        <w:adjustRightInd w:val="0"/>
        <w:snapToGrid w:val="0"/>
        <w:spacing w:line="360" w:lineRule="auto"/>
        <w:rPr>
          <w:rFonts w:ascii="宋体" w:hAnsi="宋体" w:eastAsia="宋体"/>
          <w:sz w:val="24"/>
          <w:szCs w:val="24"/>
          <w:highlight w:val="none"/>
        </w:rPr>
      </w:pPr>
      <w:bookmarkStart w:id="30" w:name="_Hlk64620603"/>
      <w:r>
        <w:rPr>
          <w:rFonts w:ascii="宋体" w:hAnsi="宋体" w:eastAsia="宋体"/>
          <w:sz w:val="24"/>
          <w:szCs w:val="24"/>
          <w:highlight w:val="none"/>
        </w:rPr>
        <w:t>1.适用范围</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本竞争性磋商文件适用于第一章“竞争性磋商公告”中所述项目的采购。</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2.当事人定义</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2.1 “采购人”是指：详见第一章“竞争性磋商公告”。</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2.2 “监管部门”是指：湖北省财政厅。</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2.3 “代理机构”或“政府采购代理机构”是指：依法成立，从事采购代理业务，并提供相关服务的社会中介组织，本项目代理机构详见“供应商须知前附表”。</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2.4 “供应商”是指：响应</w:t>
      </w:r>
      <w:r>
        <w:rPr>
          <w:rFonts w:hint="eastAsia" w:ascii="宋体" w:hAnsi="宋体" w:eastAsia="宋体"/>
          <w:sz w:val="24"/>
          <w:szCs w:val="24"/>
          <w:highlight w:val="none"/>
        </w:rPr>
        <w:t>磋商</w:t>
      </w:r>
      <w:r>
        <w:rPr>
          <w:rFonts w:ascii="宋体" w:hAnsi="宋体" w:eastAsia="宋体"/>
          <w:sz w:val="24"/>
          <w:szCs w:val="24"/>
          <w:highlight w:val="none"/>
        </w:rPr>
        <w:t>、参加</w:t>
      </w:r>
      <w:r>
        <w:rPr>
          <w:rFonts w:hint="eastAsia" w:ascii="宋体" w:hAnsi="宋体" w:eastAsia="宋体"/>
          <w:sz w:val="24"/>
          <w:szCs w:val="24"/>
          <w:highlight w:val="none"/>
        </w:rPr>
        <w:t>磋商</w:t>
      </w:r>
      <w:r>
        <w:rPr>
          <w:rFonts w:ascii="宋体" w:hAnsi="宋体" w:eastAsia="宋体"/>
          <w:sz w:val="24"/>
          <w:szCs w:val="24"/>
          <w:highlight w:val="none"/>
        </w:rPr>
        <w:t>竞争的法人、其他组织或者自然人。</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2.5 “合格供应商”是指：资格性和符合性审查均合格的供应商。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2.6 “成交供应商”是指：经磋商小组评审，授予合同的供应商。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3.项目属性及定义</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3.1 “货物”是指：各种形态和种类的物品，包括原材料、燃料、设备、产品等。</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3.1.1 竞争性磋商文件中没有提及</w:t>
      </w:r>
      <w:r>
        <w:rPr>
          <w:rFonts w:hint="eastAsia" w:ascii="宋体" w:hAnsi="宋体" w:eastAsia="宋体"/>
          <w:sz w:val="24"/>
          <w:szCs w:val="24"/>
          <w:highlight w:val="none"/>
        </w:rPr>
        <w:t>采购</w:t>
      </w:r>
      <w:r>
        <w:rPr>
          <w:rFonts w:ascii="宋体" w:hAnsi="宋体" w:eastAsia="宋体"/>
          <w:sz w:val="24"/>
          <w:szCs w:val="24"/>
          <w:highlight w:val="none"/>
        </w:rPr>
        <w:t>货物来源地的，根据《中华人民共和国政府采购法》及相关规定均应是本国货物，另有规定的除外。</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 xml:space="preserve">3.1.2 </w:t>
      </w:r>
      <w:r>
        <w:rPr>
          <w:rFonts w:hint="eastAsia" w:ascii="宋体" w:hAnsi="宋体" w:eastAsia="宋体"/>
          <w:sz w:val="24"/>
          <w:szCs w:val="24"/>
          <w:highlight w:val="none"/>
        </w:rPr>
        <w:t>供应商所投</w:t>
      </w:r>
      <w:r>
        <w:rPr>
          <w:rFonts w:ascii="宋体" w:hAnsi="宋体" w:eastAsia="宋体"/>
          <w:sz w:val="24"/>
          <w:szCs w:val="24"/>
          <w:highlight w:val="none"/>
        </w:rPr>
        <w:t>货物应是合法生产的符合国家有关标准要求的货物，并能够按照合同规定的品牌、产地、质量、价格和有效期等履约。</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3.2 “工程”是指：建设工程，包括建筑物和构筑物的新建、改建、扩建及其相关的装修、拆除、修缮等。</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3.3 “服务”是指：除货物和工程（含本章3.2条所述工程所定义工程）以外的其他政府采购对象,包括政府自身需要的服务和政府向社会公众提供的公共服务。</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3.4 采购人应按照财政部制定的《政府采购品目分类目录》确定采购项目属性。按照《政府采购品目分类目录》无法确定的，按照有利于采购项目实施的原则确定。</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4.</w:t>
      </w:r>
      <w:r>
        <w:rPr>
          <w:rFonts w:hint="eastAsia" w:ascii="宋体" w:hAnsi="宋体" w:eastAsia="宋体"/>
          <w:sz w:val="24"/>
          <w:szCs w:val="24"/>
          <w:highlight w:val="none"/>
        </w:rPr>
        <w:t>磋商</w:t>
      </w:r>
      <w:r>
        <w:rPr>
          <w:rFonts w:ascii="宋体" w:hAnsi="宋体" w:eastAsia="宋体"/>
          <w:sz w:val="24"/>
          <w:szCs w:val="24"/>
          <w:highlight w:val="none"/>
        </w:rPr>
        <w:t>费用</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4.1 供应商应承担所有与准备和参加</w:t>
      </w:r>
      <w:r>
        <w:rPr>
          <w:rFonts w:hint="eastAsia" w:ascii="宋体" w:hAnsi="宋体" w:eastAsia="宋体"/>
          <w:sz w:val="24"/>
          <w:szCs w:val="24"/>
          <w:highlight w:val="none"/>
        </w:rPr>
        <w:t>磋商</w:t>
      </w:r>
      <w:r>
        <w:rPr>
          <w:rFonts w:ascii="宋体" w:hAnsi="宋体" w:eastAsia="宋体"/>
          <w:sz w:val="24"/>
          <w:szCs w:val="24"/>
          <w:highlight w:val="none"/>
        </w:rPr>
        <w:t>有关的费用。不论</w:t>
      </w:r>
      <w:r>
        <w:rPr>
          <w:rFonts w:hint="eastAsia" w:ascii="宋体" w:hAnsi="宋体" w:eastAsia="宋体"/>
          <w:sz w:val="24"/>
          <w:szCs w:val="24"/>
          <w:highlight w:val="none"/>
        </w:rPr>
        <w:t>成交</w:t>
      </w:r>
      <w:r>
        <w:rPr>
          <w:rFonts w:ascii="宋体" w:hAnsi="宋体" w:eastAsia="宋体"/>
          <w:sz w:val="24"/>
          <w:szCs w:val="24"/>
          <w:highlight w:val="none"/>
        </w:rPr>
        <w:t>的结果如何，代理机构和采购人均无义务和责任承担这些费用。</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 xml:space="preserve">4.2 </w:t>
      </w:r>
      <w:r>
        <w:rPr>
          <w:rFonts w:hint="eastAsia" w:ascii="宋体" w:hAnsi="宋体" w:eastAsia="宋体"/>
          <w:sz w:val="24"/>
          <w:szCs w:val="24"/>
          <w:highlight w:val="none"/>
        </w:rPr>
        <w:t>采购</w:t>
      </w:r>
      <w:r>
        <w:rPr>
          <w:rFonts w:ascii="宋体" w:hAnsi="宋体" w:eastAsia="宋体"/>
          <w:sz w:val="24"/>
          <w:szCs w:val="24"/>
          <w:highlight w:val="none"/>
        </w:rPr>
        <w:t>代理服务费。</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4.2.1 根据国家发展改革委发布的《国家发展改革委关于进一步放开建设项目专业服务价格的通知》（发改价格[2015]299号）的规定，经与招标人约定，参照国家发展改革委员会颁布的《关于降低部分建设项目收费标准规范收费行为等有关问题的通知》（发改价格[2011]534号）、《关于招标代理服务收费有关问题的通知》（发改办价格[2003]857号）、《招标代理服务收费管理暂行办法》（计价格[2002]1980号）文件的规定，本项目</w:t>
      </w:r>
      <w:r>
        <w:rPr>
          <w:rFonts w:hint="eastAsia" w:ascii="宋体" w:hAnsi="宋体" w:eastAsia="宋体"/>
          <w:sz w:val="24"/>
          <w:szCs w:val="24"/>
          <w:highlight w:val="none"/>
        </w:rPr>
        <w:t>采购</w:t>
      </w:r>
      <w:r>
        <w:rPr>
          <w:rFonts w:ascii="宋体" w:hAnsi="宋体" w:eastAsia="宋体"/>
          <w:sz w:val="24"/>
          <w:szCs w:val="24"/>
          <w:highlight w:val="none"/>
        </w:rPr>
        <w:t>代理服务费由</w:t>
      </w:r>
      <w:r>
        <w:rPr>
          <w:rFonts w:hint="eastAsia" w:ascii="宋体" w:hAnsi="宋体" w:eastAsia="宋体"/>
          <w:sz w:val="24"/>
          <w:szCs w:val="24"/>
          <w:highlight w:val="none"/>
        </w:rPr>
        <w:t>成交供应商</w:t>
      </w:r>
      <w:r>
        <w:rPr>
          <w:rFonts w:ascii="宋体" w:hAnsi="宋体" w:eastAsia="宋体"/>
          <w:sz w:val="24"/>
          <w:szCs w:val="24"/>
          <w:highlight w:val="none"/>
        </w:rPr>
        <w:t>按上述招标代理服务收费标准的</w:t>
      </w:r>
      <w:r>
        <w:rPr>
          <w:rFonts w:hint="eastAsia" w:ascii="宋体" w:hAnsi="宋体" w:eastAsia="宋体"/>
          <w:b/>
          <w:bCs/>
          <w:sz w:val="24"/>
          <w:szCs w:val="24"/>
          <w:highlight w:val="none"/>
          <w:u w:val="single"/>
          <w:shd w:val="pct10" w:color="auto" w:fill="FFFFFF"/>
          <w:lang w:val="en-US" w:eastAsia="zh-CN"/>
        </w:rPr>
        <w:t>/</w:t>
      </w:r>
      <w:r>
        <w:rPr>
          <w:rFonts w:ascii="宋体" w:hAnsi="宋体" w:eastAsia="宋体"/>
          <w:sz w:val="24"/>
          <w:szCs w:val="24"/>
          <w:highlight w:val="none"/>
        </w:rPr>
        <w:t>计取支付。</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 xml:space="preserve">4.2.2 </w:t>
      </w:r>
      <w:r>
        <w:rPr>
          <w:rFonts w:hint="eastAsia" w:ascii="宋体" w:hAnsi="宋体" w:eastAsia="宋体"/>
          <w:sz w:val="24"/>
          <w:szCs w:val="24"/>
          <w:highlight w:val="none"/>
        </w:rPr>
        <w:t>采购</w:t>
      </w:r>
      <w:r>
        <w:rPr>
          <w:rFonts w:ascii="宋体" w:hAnsi="宋体" w:eastAsia="宋体"/>
          <w:sz w:val="24"/>
          <w:szCs w:val="24"/>
          <w:highlight w:val="none"/>
        </w:rPr>
        <w:t>代理服务费计算方法详见下表：</w:t>
      </w:r>
    </w:p>
    <w:p>
      <w:pPr>
        <w:adjustRightInd w:val="0"/>
        <w:snapToGrid w:val="0"/>
        <w:spacing w:line="360" w:lineRule="auto"/>
        <w:jc w:val="center"/>
        <w:rPr>
          <w:rFonts w:ascii="宋体" w:hAnsi="宋体" w:eastAsia="宋体"/>
          <w:b/>
          <w:bCs/>
          <w:sz w:val="24"/>
          <w:szCs w:val="24"/>
          <w:highlight w:val="none"/>
        </w:rPr>
      </w:pPr>
      <w:r>
        <w:rPr>
          <w:rFonts w:hint="eastAsia" w:ascii="宋体" w:hAnsi="宋体" w:eastAsia="宋体"/>
          <w:b/>
          <w:bCs/>
          <w:sz w:val="24"/>
          <w:szCs w:val="24"/>
          <w:highlight w:val="none"/>
        </w:rPr>
        <w:t>招标采购代理项目服务收费标准一览表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7"/>
        <w:gridCol w:w="1680"/>
        <w:gridCol w:w="168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tcBorders>
              <w:tl2br w:val="single" w:color="auto" w:sz="4" w:space="0"/>
            </w:tcBorders>
            <w:shd w:val="clear" w:color="auto" w:fill="BEBEBE" w:themeFill="background1" w:themeFillShade="BF"/>
            <w:vAlign w:val="center"/>
          </w:tcPr>
          <w:p>
            <w:pPr>
              <w:jc w:val="right"/>
              <w:rPr>
                <w:rFonts w:ascii="宋体" w:hAnsi="宋体" w:eastAsia="宋体"/>
                <w:bCs/>
                <w:sz w:val="24"/>
                <w:szCs w:val="24"/>
                <w:highlight w:val="none"/>
              </w:rPr>
            </w:pPr>
            <w:r>
              <w:rPr>
                <w:rFonts w:hint="eastAsia" w:ascii="宋体" w:hAnsi="宋体" w:eastAsia="宋体"/>
                <w:bCs/>
                <w:sz w:val="24"/>
                <w:szCs w:val="24"/>
                <w:highlight w:val="none"/>
              </w:rPr>
              <w:t>费率</w:t>
            </w:r>
          </w:p>
          <w:p>
            <w:pPr>
              <w:jc w:val="left"/>
              <w:rPr>
                <w:rFonts w:ascii="宋体" w:hAnsi="宋体" w:eastAsia="宋体"/>
                <w:bCs/>
                <w:sz w:val="24"/>
                <w:szCs w:val="24"/>
                <w:highlight w:val="none"/>
              </w:rPr>
            </w:pPr>
            <w:r>
              <w:rPr>
                <w:rFonts w:hint="eastAsia" w:ascii="宋体" w:hAnsi="宋体" w:eastAsia="宋体"/>
                <w:bCs/>
                <w:sz w:val="24"/>
                <w:szCs w:val="24"/>
                <w:highlight w:val="none"/>
              </w:rPr>
              <w:t>中标金额</w:t>
            </w:r>
          </w:p>
        </w:tc>
        <w:tc>
          <w:tcPr>
            <w:tcW w:w="921" w:type="pct"/>
            <w:shd w:val="clear" w:color="auto" w:fill="BEBEBE" w:themeFill="background1" w:themeFillShade="BF"/>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货物招标</w:t>
            </w:r>
          </w:p>
        </w:tc>
        <w:tc>
          <w:tcPr>
            <w:tcW w:w="921" w:type="pct"/>
            <w:shd w:val="clear" w:color="auto" w:fill="BEBEBE" w:themeFill="background1" w:themeFillShade="BF"/>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服务招标</w:t>
            </w:r>
          </w:p>
        </w:tc>
        <w:tc>
          <w:tcPr>
            <w:tcW w:w="921" w:type="pct"/>
            <w:shd w:val="clear" w:color="auto" w:fill="BEBEBE" w:themeFill="background1" w:themeFillShade="BF"/>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100万元以下</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100～500万元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1.1%</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0.8%</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500～1000万元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0.8%</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0.45%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1000～5000万元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0.25%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5000万元～1亿元</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0.25%</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0.1%</w:t>
            </w:r>
          </w:p>
        </w:tc>
        <w:tc>
          <w:tcPr>
            <w:tcW w:w="921" w:type="pct"/>
            <w:shd w:val="clear" w:color="auto" w:fill="auto"/>
            <w:vAlign w:val="center"/>
          </w:tcPr>
          <w:p>
            <w:pPr>
              <w:jc w:val="center"/>
              <w:rPr>
                <w:rFonts w:ascii="宋体" w:hAnsi="宋体" w:eastAsia="宋体"/>
                <w:bCs/>
                <w:sz w:val="24"/>
                <w:szCs w:val="24"/>
                <w:highlight w:val="none"/>
              </w:rPr>
            </w:pPr>
            <w:r>
              <w:rPr>
                <w:rFonts w:ascii="宋体" w:hAnsi="宋体" w:eastAsia="宋体" w:cs="Cambria Math"/>
                <w:bCs/>
                <w:color w:val="000000"/>
                <w:sz w:val="24"/>
                <w:szCs w:val="24"/>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1～5亿元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5～10亿元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0.035%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0.035%</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10～50亿元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0.008%</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0.008%</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50～100亿元</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0.006%</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0.006%</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100亿以上</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0.004%</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0.004%</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36"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招标代理服务费最高限额</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350万</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300万</w:t>
            </w:r>
          </w:p>
        </w:tc>
        <w:tc>
          <w:tcPr>
            <w:tcW w:w="921" w:type="pct"/>
            <w:shd w:val="clear" w:color="auto" w:fill="auto"/>
            <w:vAlign w:val="center"/>
          </w:tcPr>
          <w:p>
            <w:pPr>
              <w:jc w:val="center"/>
              <w:rPr>
                <w:rFonts w:ascii="宋体" w:hAnsi="宋体" w:eastAsia="宋体"/>
                <w:bCs/>
                <w:sz w:val="24"/>
                <w:szCs w:val="24"/>
                <w:highlight w:val="none"/>
              </w:rPr>
            </w:pPr>
            <w:r>
              <w:rPr>
                <w:rFonts w:hint="eastAsia" w:ascii="宋体" w:hAnsi="宋体" w:eastAsia="宋体"/>
                <w:bCs/>
                <w:sz w:val="24"/>
                <w:szCs w:val="24"/>
                <w:highlight w:val="none"/>
              </w:rPr>
              <w:t>450万</w:t>
            </w:r>
          </w:p>
        </w:tc>
      </w:tr>
    </w:tbl>
    <w:p>
      <w:pPr>
        <w:spacing w:line="360" w:lineRule="auto"/>
        <w:jc w:val="left"/>
        <w:rPr>
          <w:rFonts w:ascii="宋体" w:hAnsi="宋体" w:eastAsia="宋体"/>
          <w:bCs/>
          <w:sz w:val="24"/>
          <w:szCs w:val="24"/>
          <w:highlight w:val="none"/>
        </w:rPr>
      </w:pPr>
      <w:r>
        <w:rPr>
          <w:rFonts w:hint="eastAsia" w:ascii="宋体" w:hAnsi="宋体" w:eastAsia="宋体"/>
          <w:bCs/>
          <w:sz w:val="24"/>
          <w:szCs w:val="24"/>
          <w:highlight w:val="none"/>
        </w:rPr>
        <w:t>注：例如某工程招标代理业务中标金额为</w:t>
      </w:r>
      <w:r>
        <w:rPr>
          <w:rFonts w:ascii="宋体" w:hAnsi="宋体" w:eastAsia="宋体"/>
          <w:bCs/>
          <w:sz w:val="24"/>
          <w:szCs w:val="24"/>
          <w:highlight w:val="none"/>
        </w:rPr>
        <w:t>6000</w:t>
      </w:r>
      <w:r>
        <w:rPr>
          <w:rFonts w:hint="eastAsia" w:ascii="宋体" w:hAnsi="宋体" w:eastAsia="宋体"/>
          <w:bCs/>
          <w:sz w:val="24"/>
          <w:szCs w:val="24"/>
          <w:highlight w:val="none"/>
        </w:rPr>
        <w:t>万元，计算招标代理服务收费收费标准金额如下：</w:t>
      </w:r>
    </w:p>
    <w:p>
      <w:pPr>
        <w:spacing w:line="360" w:lineRule="auto"/>
        <w:ind w:firstLine="480" w:firstLineChars="200"/>
        <w:jc w:val="left"/>
        <w:rPr>
          <w:rFonts w:ascii="宋体" w:hAnsi="宋体" w:eastAsia="宋体"/>
          <w:bCs/>
          <w:sz w:val="24"/>
          <w:szCs w:val="24"/>
          <w:highlight w:val="none"/>
        </w:rPr>
      </w:pPr>
      <w:r>
        <w:rPr>
          <w:rFonts w:ascii="宋体" w:hAnsi="宋体" w:eastAsia="宋体"/>
          <w:bCs/>
          <w:sz w:val="24"/>
          <w:szCs w:val="24"/>
          <w:highlight w:val="none"/>
        </w:rPr>
        <w:t>100</w:t>
      </w:r>
      <w:r>
        <w:rPr>
          <w:rFonts w:hint="eastAsia" w:ascii="宋体" w:hAnsi="宋体" w:eastAsia="宋体"/>
          <w:bCs/>
          <w:sz w:val="24"/>
          <w:szCs w:val="24"/>
          <w:highlight w:val="none"/>
        </w:rPr>
        <w:t>万元×</w:t>
      </w:r>
      <w:r>
        <w:rPr>
          <w:rFonts w:ascii="宋体" w:hAnsi="宋体" w:eastAsia="宋体"/>
          <w:bCs/>
          <w:sz w:val="24"/>
          <w:szCs w:val="24"/>
          <w:highlight w:val="none"/>
        </w:rPr>
        <w:t>1.0%=1</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500-100</w:t>
      </w:r>
      <w:r>
        <w:rPr>
          <w:rFonts w:hint="eastAsia" w:ascii="宋体" w:hAnsi="宋体" w:eastAsia="宋体"/>
          <w:bCs/>
          <w:sz w:val="24"/>
          <w:szCs w:val="24"/>
          <w:highlight w:val="none"/>
        </w:rPr>
        <w:t>）万元×</w:t>
      </w:r>
      <w:r>
        <w:rPr>
          <w:rFonts w:ascii="宋体" w:hAnsi="宋体" w:eastAsia="宋体"/>
          <w:bCs/>
          <w:sz w:val="24"/>
          <w:szCs w:val="24"/>
          <w:highlight w:val="none"/>
        </w:rPr>
        <w:t>0.7%=2.8</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1000-500</w:t>
      </w:r>
      <w:r>
        <w:rPr>
          <w:rFonts w:hint="eastAsia" w:ascii="宋体" w:hAnsi="宋体" w:eastAsia="宋体"/>
          <w:bCs/>
          <w:sz w:val="24"/>
          <w:szCs w:val="24"/>
          <w:highlight w:val="none"/>
        </w:rPr>
        <w:t>）×</w:t>
      </w:r>
      <w:r>
        <w:rPr>
          <w:rFonts w:ascii="宋体" w:hAnsi="宋体" w:eastAsia="宋体"/>
          <w:bCs/>
          <w:sz w:val="24"/>
          <w:szCs w:val="24"/>
          <w:highlight w:val="none"/>
        </w:rPr>
        <w:t>0.55%=2.75</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5000-1000</w:t>
      </w:r>
      <w:r>
        <w:rPr>
          <w:rFonts w:hint="eastAsia" w:ascii="宋体" w:hAnsi="宋体" w:eastAsia="宋体"/>
          <w:bCs/>
          <w:sz w:val="24"/>
          <w:szCs w:val="24"/>
          <w:highlight w:val="none"/>
        </w:rPr>
        <w:t>）×</w:t>
      </w:r>
      <w:r>
        <w:rPr>
          <w:rFonts w:ascii="宋体" w:hAnsi="宋体" w:eastAsia="宋体"/>
          <w:bCs/>
          <w:sz w:val="24"/>
          <w:szCs w:val="24"/>
          <w:highlight w:val="none"/>
        </w:rPr>
        <w:t>0.35%=14</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w:t>
      </w:r>
      <w:r>
        <w:rPr>
          <w:rFonts w:ascii="宋体" w:hAnsi="宋体" w:eastAsia="宋体"/>
          <w:bCs/>
          <w:sz w:val="24"/>
          <w:szCs w:val="24"/>
          <w:highlight w:val="none"/>
        </w:rPr>
        <w:t>6000-5000</w:t>
      </w:r>
      <w:r>
        <w:rPr>
          <w:rFonts w:hint="eastAsia" w:ascii="宋体" w:hAnsi="宋体" w:eastAsia="宋体"/>
          <w:bCs/>
          <w:sz w:val="24"/>
          <w:szCs w:val="24"/>
          <w:highlight w:val="none"/>
        </w:rPr>
        <w:t>）×</w:t>
      </w:r>
      <w:r>
        <w:rPr>
          <w:rFonts w:ascii="宋体" w:hAnsi="宋体" w:eastAsia="宋体"/>
          <w:bCs/>
          <w:sz w:val="24"/>
          <w:szCs w:val="24"/>
          <w:highlight w:val="none"/>
        </w:rPr>
        <w:t>0.2%=2</w:t>
      </w:r>
      <w:r>
        <w:rPr>
          <w:rFonts w:hint="eastAsia" w:ascii="宋体" w:hAnsi="宋体" w:eastAsia="宋体"/>
          <w:bCs/>
          <w:sz w:val="24"/>
          <w:szCs w:val="24"/>
          <w:highlight w:val="none"/>
        </w:rPr>
        <w:t>万元</w:t>
      </w:r>
    </w:p>
    <w:p>
      <w:pPr>
        <w:spacing w:line="360" w:lineRule="auto"/>
        <w:ind w:firstLine="480" w:firstLineChars="200"/>
        <w:jc w:val="left"/>
        <w:rPr>
          <w:rFonts w:ascii="宋体" w:hAnsi="宋体" w:eastAsia="宋体"/>
          <w:bCs/>
          <w:sz w:val="24"/>
          <w:szCs w:val="24"/>
          <w:highlight w:val="none"/>
        </w:rPr>
      </w:pPr>
      <w:r>
        <w:rPr>
          <w:rFonts w:hint="eastAsia" w:ascii="宋体" w:hAnsi="宋体" w:eastAsia="宋体"/>
          <w:bCs/>
          <w:sz w:val="24"/>
          <w:szCs w:val="24"/>
          <w:highlight w:val="none"/>
        </w:rPr>
        <w:t>合计收费</w:t>
      </w:r>
      <w:r>
        <w:rPr>
          <w:rFonts w:ascii="宋体" w:hAnsi="宋体" w:eastAsia="宋体"/>
          <w:bCs/>
          <w:sz w:val="24"/>
          <w:szCs w:val="24"/>
          <w:highlight w:val="none"/>
        </w:rPr>
        <w:t>=1+2.8+2.75+14+2=22.55</w:t>
      </w:r>
      <w:r>
        <w:rPr>
          <w:rFonts w:hint="eastAsia" w:ascii="宋体" w:hAnsi="宋体" w:eastAsia="宋体"/>
          <w:bCs/>
          <w:sz w:val="24"/>
          <w:szCs w:val="24"/>
          <w:highlight w:val="none"/>
        </w:rPr>
        <w:t>（万元）</w:t>
      </w:r>
    </w:p>
    <w:p>
      <w:pPr>
        <w:adjustRightInd w:val="0"/>
        <w:snapToGrid w:val="0"/>
        <w:spacing w:line="360" w:lineRule="auto"/>
        <w:ind w:left="720" w:hanging="720" w:hangingChars="300"/>
        <w:rPr>
          <w:rFonts w:hint="eastAsia" w:ascii="宋体" w:hAnsi="宋体" w:eastAsia="宋体"/>
          <w:sz w:val="24"/>
          <w:szCs w:val="24"/>
          <w:highlight w:val="none"/>
        </w:rPr>
      </w:pPr>
      <w:bookmarkStart w:id="31" w:name="_Hlk64549284"/>
      <w:r>
        <w:rPr>
          <w:rFonts w:ascii="宋体" w:hAnsi="宋体" w:eastAsia="宋体"/>
          <w:sz w:val="24"/>
          <w:szCs w:val="24"/>
          <w:highlight w:val="none"/>
        </w:rPr>
        <w:t xml:space="preserve">4.2.3 </w:t>
      </w:r>
      <w:r>
        <w:rPr>
          <w:rFonts w:hint="eastAsia" w:ascii="宋体" w:hAnsi="宋体" w:eastAsia="宋体"/>
          <w:sz w:val="24"/>
          <w:szCs w:val="24"/>
          <w:highlight w:val="none"/>
        </w:rPr>
        <w:t>中标人在领取中标通知书时一次性付清</w:t>
      </w:r>
      <w:r>
        <w:rPr>
          <w:rFonts w:ascii="宋体" w:hAnsi="宋体" w:eastAsia="宋体"/>
          <w:sz w:val="24"/>
          <w:szCs w:val="24"/>
          <w:highlight w:val="none"/>
        </w:rPr>
        <w:t>本项目招标代理服务费</w:t>
      </w:r>
      <w:r>
        <w:rPr>
          <w:rFonts w:hint="eastAsia" w:ascii="宋体" w:hAnsi="宋体" w:eastAsia="宋体" w:cstheme="minorBidi"/>
          <w:kern w:val="2"/>
          <w:sz w:val="24"/>
          <w:szCs w:val="24"/>
          <w:highlight w:val="none"/>
          <w:lang w:val="en-US" w:eastAsia="zh-CN" w:bidi="ar-SA"/>
        </w:rPr>
        <w:t>，服务费金额不足3000元的按3000元收取</w:t>
      </w:r>
      <w:r>
        <w:rPr>
          <w:rFonts w:hint="eastAsia" w:ascii="宋体" w:hAnsi="宋体" w:eastAsia="宋体"/>
          <w:sz w:val="24"/>
          <w:szCs w:val="24"/>
          <w:highlight w:val="none"/>
        </w:rPr>
        <w:t>。</w:t>
      </w:r>
    </w:p>
    <w:p>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heme="minorBidi"/>
          <w:kern w:val="2"/>
          <w:sz w:val="24"/>
          <w:szCs w:val="24"/>
          <w:highlight w:val="none"/>
          <w:lang w:val="en-US" w:eastAsia="zh-CN" w:bidi="ar-SA"/>
        </w:rPr>
      </w:pPr>
      <w:r>
        <w:rPr>
          <w:rFonts w:hint="eastAsia" w:ascii="宋体" w:hAnsi="宋体" w:eastAsia="宋体" w:cstheme="minorBidi"/>
          <w:kern w:val="2"/>
          <w:sz w:val="24"/>
          <w:szCs w:val="24"/>
          <w:highlight w:val="none"/>
          <w:lang w:val="en-US" w:eastAsia="zh-CN" w:bidi="ar-SA"/>
        </w:rPr>
        <w:t>开户银行：中国工商银行股份有限公司武汉徐家棚支行</w:t>
      </w:r>
    </w:p>
    <w:p>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heme="minorBidi"/>
          <w:kern w:val="2"/>
          <w:sz w:val="24"/>
          <w:szCs w:val="24"/>
          <w:highlight w:val="none"/>
          <w:lang w:val="en-US" w:eastAsia="zh-CN" w:bidi="ar-SA"/>
        </w:rPr>
      </w:pPr>
      <w:r>
        <w:rPr>
          <w:rFonts w:hint="eastAsia" w:ascii="宋体" w:hAnsi="宋体" w:eastAsia="宋体" w:cstheme="minorBidi"/>
          <w:kern w:val="2"/>
          <w:sz w:val="24"/>
          <w:szCs w:val="24"/>
          <w:highlight w:val="none"/>
          <w:lang w:val="en-US" w:eastAsia="zh-CN" w:bidi="ar-SA"/>
        </w:rPr>
        <w:t>帐户名称：武汉富纳工程咨询有限公司</w:t>
      </w:r>
    </w:p>
    <w:p>
      <w:pPr>
        <w:adjustRightInd w:val="0"/>
        <w:snapToGrid w:val="0"/>
        <w:spacing w:line="360" w:lineRule="auto"/>
        <w:ind w:left="719" w:leftChars="228" w:hanging="240" w:hangingChars="100"/>
        <w:rPr>
          <w:rFonts w:hint="eastAsia" w:ascii="宋体" w:hAnsi="宋体" w:eastAsia="宋体" w:cstheme="minorBidi"/>
          <w:kern w:val="2"/>
          <w:sz w:val="24"/>
          <w:szCs w:val="24"/>
          <w:highlight w:val="none"/>
          <w:lang w:val="en-US" w:eastAsia="zh-CN" w:bidi="ar-SA"/>
        </w:rPr>
      </w:pPr>
      <w:r>
        <w:rPr>
          <w:rFonts w:hint="eastAsia" w:ascii="宋体" w:hAnsi="宋体" w:eastAsia="宋体" w:cstheme="minorBidi"/>
          <w:kern w:val="2"/>
          <w:sz w:val="24"/>
          <w:szCs w:val="24"/>
          <w:highlight w:val="none"/>
          <w:lang w:val="en-US" w:eastAsia="zh-CN" w:bidi="ar-SA"/>
        </w:rPr>
        <w:t>帐号：3202006109200170550</w:t>
      </w:r>
    </w:p>
    <w:p>
      <w:pPr>
        <w:rPr>
          <w:highlight w:val="none"/>
        </w:rPr>
      </w:pPr>
      <w:r>
        <w:rPr>
          <w:rFonts w:hint="eastAsia" w:ascii="宋体" w:hAnsi="宋体" w:eastAsia="宋体" w:cstheme="minorBidi"/>
          <w:kern w:val="2"/>
          <w:sz w:val="24"/>
          <w:szCs w:val="24"/>
          <w:highlight w:val="none"/>
          <w:lang w:val="en-US" w:eastAsia="zh-CN" w:bidi="ar-SA"/>
        </w:rPr>
        <w:br w:type="page"/>
      </w:r>
    </w:p>
    <w:bookmarkEnd w:id="30"/>
    <w:bookmarkEnd w:id="31"/>
    <w:p>
      <w:pPr>
        <w:pStyle w:val="4"/>
        <w:jc w:val="center"/>
        <w:rPr>
          <w:sz w:val="32"/>
          <w:highlight w:val="none"/>
        </w:rPr>
      </w:pPr>
      <w:bookmarkStart w:id="32" w:name="_Toc65158782"/>
      <w:r>
        <w:rPr>
          <w:rFonts w:hint="eastAsia"/>
          <w:sz w:val="32"/>
          <w:highlight w:val="none"/>
        </w:rPr>
        <w:t>磋商文件</w:t>
      </w:r>
      <w:bookmarkEnd w:id="32"/>
    </w:p>
    <w:p>
      <w:pPr>
        <w:adjustRightInd w:val="0"/>
        <w:snapToGrid w:val="0"/>
        <w:spacing w:line="360" w:lineRule="auto"/>
        <w:rPr>
          <w:rFonts w:ascii="宋体" w:hAnsi="宋体" w:eastAsia="宋体"/>
          <w:sz w:val="24"/>
          <w:szCs w:val="24"/>
          <w:highlight w:val="none"/>
        </w:rPr>
      </w:pPr>
      <w:bookmarkStart w:id="33" w:name="_Hlk64620816"/>
      <w:r>
        <w:rPr>
          <w:rFonts w:ascii="宋体" w:hAnsi="宋体" w:eastAsia="宋体"/>
          <w:sz w:val="24"/>
          <w:szCs w:val="24"/>
          <w:highlight w:val="none"/>
        </w:rPr>
        <w:t>5.竞争性磋商文件的构成</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第一章</w:t>
      </w:r>
      <w:r>
        <w:rPr>
          <w:rFonts w:ascii="宋体" w:hAnsi="宋体" w:eastAsia="宋体"/>
          <w:sz w:val="24"/>
          <w:szCs w:val="24"/>
          <w:highlight w:val="none"/>
        </w:rPr>
        <w:t xml:space="preserve"> </w:t>
      </w:r>
      <w:r>
        <w:rPr>
          <w:rFonts w:hint="eastAsia" w:ascii="宋体" w:hAnsi="宋体" w:eastAsia="宋体"/>
          <w:sz w:val="24"/>
          <w:szCs w:val="24"/>
          <w:highlight w:val="none"/>
        </w:rPr>
        <w:t>竞争性磋商公告</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第二章</w:t>
      </w:r>
      <w:r>
        <w:rPr>
          <w:rFonts w:ascii="宋体" w:hAnsi="宋体" w:eastAsia="宋体"/>
          <w:sz w:val="24"/>
          <w:szCs w:val="24"/>
          <w:highlight w:val="none"/>
        </w:rPr>
        <w:t xml:space="preserve"> 供应商须知</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第三章</w:t>
      </w:r>
      <w:r>
        <w:rPr>
          <w:rFonts w:ascii="宋体" w:hAnsi="宋体" w:eastAsia="宋体"/>
          <w:sz w:val="24"/>
          <w:szCs w:val="24"/>
          <w:highlight w:val="none"/>
        </w:rPr>
        <w:t xml:space="preserve"> 项目需求书</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第四章</w:t>
      </w:r>
      <w:r>
        <w:rPr>
          <w:rFonts w:ascii="宋体" w:hAnsi="宋体" w:eastAsia="宋体"/>
          <w:sz w:val="24"/>
          <w:szCs w:val="24"/>
          <w:highlight w:val="none"/>
        </w:rPr>
        <w:t xml:space="preserve"> </w:t>
      </w:r>
      <w:r>
        <w:rPr>
          <w:rFonts w:hint="eastAsia" w:ascii="宋体" w:hAnsi="宋体" w:eastAsia="宋体"/>
          <w:sz w:val="24"/>
          <w:szCs w:val="24"/>
          <w:highlight w:val="none"/>
        </w:rPr>
        <w:t>评审标准及方法</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第五章</w:t>
      </w:r>
      <w:r>
        <w:rPr>
          <w:rFonts w:ascii="宋体" w:hAnsi="宋体" w:eastAsia="宋体"/>
          <w:sz w:val="24"/>
          <w:szCs w:val="24"/>
          <w:highlight w:val="none"/>
        </w:rPr>
        <w:t xml:space="preserve"> 合同书格式</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 xml:space="preserve">第六章 </w:t>
      </w:r>
      <w:r>
        <w:rPr>
          <w:rFonts w:ascii="宋体" w:hAnsi="宋体" w:eastAsia="宋体"/>
          <w:sz w:val="24"/>
          <w:szCs w:val="24"/>
          <w:highlight w:val="none"/>
        </w:rPr>
        <w:t>响应文件格式</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第七章</w:t>
      </w:r>
      <w:r>
        <w:rPr>
          <w:rFonts w:ascii="宋体" w:hAnsi="宋体" w:eastAsia="宋体"/>
          <w:sz w:val="24"/>
          <w:szCs w:val="24"/>
          <w:highlight w:val="none"/>
        </w:rPr>
        <w:t xml:space="preserve"> 相关附件及要求</w:t>
      </w:r>
    </w:p>
    <w:p>
      <w:pPr>
        <w:adjustRightInd w:val="0"/>
        <w:snapToGrid w:val="0"/>
        <w:spacing w:line="360" w:lineRule="auto"/>
        <w:ind w:firstLine="240" w:firstLineChars="100"/>
        <w:rPr>
          <w:rFonts w:ascii="宋体" w:hAnsi="宋体" w:eastAsia="宋体"/>
          <w:sz w:val="24"/>
          <w:szCs w:val="24"/>
          <w:highlight w:val="none"/>
        </w:rPr>
      </w:pPr>
      <w:r>
        <w:rPr>
          <w:rFonts w:hint="eastAsia" w:ascii="宋体" w:hAnsi="宋体" w:eastAsia="宋体"/>
          <w:sz w:val="24"/>
          <w:szCs w:val="24"/>
          <w:highlight w:val="none"/>
        </w:rPr>
        <w:t>其他</w:t>
      </w:r>
      <w:r>
        <w:rPr>
          <w:rFonts w:ascii="宋体" w:hAnsi="宋体" w:eastAsia="宋体"/>
          <w:sz w:val="24"/>
          <w:szCs w:val="24"/>
          <w:highlight w:val="none"/>
        </w:rPr>
        <w:t xml:space="preserve"> 在</w:t>
      </w:r>
      <w:r>
        <w:rPr>
          <w:rFonts w:hint="eastAsia" w:ascii="宋体" w:hAnsi="宋体" w:eastAsia="宋体"/>
          <w:sz w:val="24"/>
          <w:szCs w:val="24"/>
          <w:highlight w:val="none"/>
        </w:rPr>
        <w:t>采购</w:t>
      </w:r>
      <w:r>
        <w:rPr>
          <w:rFonts w:ascii="宋体" w:hAnsi="宋体" w:eastAsia="宋体"/>
          <w:sz w:val="24"/>
          <w:szCs w:val="24"/>
          <w:highlight w:val="none"/>
        </w:rPr>
        <w:t>过程中由代理机构发出的修正和补充文件等</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6.竞争性磋商文件疑问的提交</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6.1 潜在供应商对竞争性磋商文件有疑问的，可以向代理机构提出询问，或在6.2规定的时间前以书面的形式向代理机构提交疑问函。</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6.2 潜在供应商在项目竞争性磋商公告期限届满之日起7个工作日内未对竞争性磋商文件提出疑问的，代理机构将视其认同竞争性磋商文件，在规定的时间后就竞争性磋商文件内容提出的疑问将不予受理。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6.3 代理机构将组织采购人对潜在供应商所提交疑问以书面（或网上公告）的形式予以答复。必要时，代理机构将组织相关专家召开答疑会，并将会议内容以书面的形式发给每个领取竞争性磋商文件的潜在供应商（答复中不包括问题的来源）。</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7.竞争性磋商文件的澄清、修改</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7.1 代理机构和采购人可以对已发出的竞争性磋商文件进行必要的澄清或者修改，澄清或者修改将在原公告发布媒体上发布澄清公告。澄清或者修改的内容可能影响竞争性磋商响应文件编制的，代理机构和采购人将在</w:t>
      </w:r>
      <w:r>
        <w:rPr>
          <w:rFonts w:hint="eastAsia" w:ascii="宋体" w:hAnsi="宋体" w:eastAsia="宋体"/>
          <w:sz w:val="24"/>
          <w:szCs w:val="24"/>
          <w:highlight w:val="none"/>
        </w:rPr>
        <w:t>磋商响应文件递交</w:t>
      </w:r>
      <w:r>
        <w:rPr>
          <w:rFonts w:ascii="宋体" w:hAnsi="宋体" w:eastAsia="宋体"/>
          <w:sz w:val="24"/>
          <w:szCs w:val="24"/>
          <w:highlight w:val="none"/>
        </w:rPr>
        <w:t>截止时间至少5日前，以书面形式通知所有获取竞争性磋商文件的潜在供应商。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7.2 为使潜在供应商有充足时间对竞争性磋商文件的澄清或者修改的内容进行研究和响应，代理机构和采购人可适当顺延提交竞争性磋商响应文件的截止时间，并以书面（或网上公告）的形式通知所有领取竞争性磋商文件的潜在供应商。</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7.3 澄清或者修改的内容为竞争性磋商文件的组成部分，并对潜在供应商具有约束力。潜在供应商在收到上述通知后，应立即以书面（或邮件）形式向代理机构确认收悉，否则视同默认收悉。</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8.现场考察</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8.1 采购人可以在竞争性磋商文件提供期限截止后，组织已获取竞争性磋商文件的潜在供应商现场考察。采购人组织现场考察的，潜在供应商可对项目现场及周围环境进行踏勘，以便获取有关编制竞争性磋商响应文件和签署合同所涉及现场的资料。</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8.2 采购人向潜在供应商提供有关现场的数据和资料。是采购人现有的能被潜在供应商利用的客观资料，采购人对潜在供应商依此作出的任何推论、理解和结论均不负责任。</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8.3 经采购人允许，潜在供应商可进入项目现场进行考察，但潜在供应商不得因此使采购人承担有关责任和蒙受损失。潜在供应商应自行承担现场考察的全部费用、责任和风险。</w:t>
      </w:r>
    </w:p>
    <w:bookmarkEnd w:id="33"/>
    <w:p>
      <w:pPr>
        <w:pStyle w:val="4"/>
        <w:jc w:val="center"/>
        <w:rPr>
          <w:sz w:val="32"/>
          <w:highlight w:val="none"/>
        </w:rPr>
      </w:pPr>
      <w:bookmarkStart w:id="34" w:name="_Toc65158783"/>
      <w:r>
        <w:rPr>
          <w:rFonts w:hint="eastAsia"/>
          <w:sz w:val="32"/>
          <w:highlight w:val="none"/>
        </w:rPr>
        <w:t>响应文件</w:t>
      </w:r>
      <w:bookmarkEnd w:id="34"/>
    </w:p>
    <w:p>
      <w:pPr>
        <w:adjustRightInd w:val="0"/>
        <w:snapToGrid w:val="0"/>
        <w:spacing w:line="360" w:lineRule="auto"/>
        <w:rPr>
          <w:rFonts w:ascii="宋体" w:hAnsi="宋体" w:eastAsia="宋体"/>
          <w:sz w:val="24"/>
          <w:szCs w:val="24"/>
          <w:highlight w:val="none"/>
        </w:rPr>
      </w:pPr>
      <w:bookmarkStart w:id="35" w:name="_Hlk64621486"/>
      <w:r>
        <w:rPr>
          <w:rFonts w:ascii="宋体" w:hAnsi="宋体" w:eastAsia="宋体"/>
          <w:sz w:val="24"/>
          <w:szCs w:val="24"/>
          <w:highlight w:val="none"/>
        </w:rPr>
        <w:t>9.</w:t>
      </w:r>
      <w:r>
        <w:rPr>
          <w:rFonts w:hint="eastAsia" w:ascii="宋体" w:hAnsi="宋体" w:eastAsia="宋体"/>
          <w:sz w:val="24"/>
          <w:szCs w:val="24"/>
          <w:highlight w:val="none"/>
        </w:rPr>
        <w:t>磋商</w:t>
      </w:r>
      <w:r>
        <w:rPr>
          <w:rFonts w:ascii="宋体" w:hAnsi="宋体" w:eastAsia="宋体"/>
          <w:sz w:val="24"/>
          <w:szCs w:val="24"/>
          <w:highlight w:val="none"/>
        </w:rPr>
        <w:t>的语言</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9.1 供应商提交的竞争性磋商响应文件以及供应商与代理机构或采购人就有关</w:t>
      </w:r>
      <w:r>
        <w:rPr>
          <w:rFonts w:hint="eastAsia" w:ascii="宋体" w:hAnsi="宋体" w:eastAsia="宋体"/>
          <w:sz w:val="24"/>
          <w:szCs w:val="24"/>
          <w:highlight w:val="none"/>
        </w:rPr>
        <w:t>磋商</w:t>
      </w:r>
      <w:r>
        <w:rPr>
          <w:rFonts w:ascii="宋体" w:hAnsi="宋体" w:eastAsia="宋体"/>
          <w:sz w:val="24"/>
          <w:szCs w:val="24"/>
          <w:highlight w:val="none"/>
        </w:rPr>
        <w:t>的所有来往函电均应使用中文。</w:t>
      </w:r>
    </w:p>
    <w:p>
      <w:pPr>
        <w:adjustRightInd w:val="0"/>
        <w:snapToGrid w:val="0"/>
        <w:spacing w:line="360" w:lineRule="auto"/>
        <w:ind w:left="480" w:hanging="480" w:hangingChars="200"/>
        <w:rPr>
          <w:rFonts w:ascii="宋体" w:hAnsi="宋体" w:eastAsia="宋体"/>
          <w:sz w:val="24"/>
          <w:szCs w:val="24"/>
          <w:highlight w:val="none"/>
        </w:rPr>
      </w:pPr>
      <w:r>
        <w:rPr>
          <w:rFonts w:ascii="宋体" w:hAnsi="宋体" w:eastAsia="宋体"/>
          <w:sz w:val="24"/>
          <w:szCs w:val="24"/>
          <w:highlight w:val="none"/>
        </w:rPr>
        <w:t>9.2 供应商提交的相关证明文件、资料或文献可以用另一种语言，但相应内容应附有中文译本，在解释竞争性磋商响应文件的相关内容时以中文译本为准。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10.竞争性磋商响应文件的构成</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10.1 供应商应完整的按竞争性磋商文件第</w:t>
      </w:r>
      <w:r>
        <w:rPr>
          <w:rFonts w:hint="eastAsia" w:ascii="宋体" w:hAnsi="宋体" w:eastAsia="宋体"/>
          <w:sz w:val="24"/>
          <w:szCs w:val="24"/>
          <w:highlight w:val="none"/>
        </w:rPr>
        <w:t>六</w:t>
      </w:r>
      <w:r>
        <w:rPr>
          <w:rFonts w:ascii="宋体" w:hAnsi="宋体" w:eastAsia="宋体"/>
          <w:sz w:val="24"/>
          <w:szCs w:val="24"/>
          <w:highlight w:val="none"/>
        </w:rPr>
        <w:t>章“响应文件格式”要求的格式及顺序编制竞争性磋商响应文件。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10.5 供应商应将本项目（或对应包，如有分包）各自单独编制一份竞争性磋商响应文件，未按照本要求递交的竞争性磋商响应文件将导致竞争性磋商响应文件被拒收。</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11.竞争性磋商响应文件编制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11.1 竞争性磋商文件有分包要求，供应商对竞争性磋商文件中多个包</w:t>
      </w:r>
      <w:r>
        <w:rPr>
          <w:rFonts w:hint="eastAsia" w:ascii="宋体" w:hAnsi="宋体" w:eastAsia="宋体"/>
          <w:sz w:val="24"/>
          <w:szCs w:val="24"/>
          <w:highlight w:val="none"/>
        </w:rPr>
        <w:t>参与磋商</w:t>
      </w:r>
      <w:r>
        <w:rPr>
          <w:rFonts w:ascii="宋体" w:hAnsi="宋体" w:eastAsia="宋体"/>
          <w:sz w:val="24"/>
          <w:szCs w:val="24"/>
          <w:highlight w:val="none"/>
        </w:rPr>
        <w:t>的，其竞争性磋商响应文件的编制应按每包要求分别装订和封装，并注明对应包号</w:t>
      </w:r>
      <w:r>
        <w:rPr>
          <w:rFonts w:hint="eastAsia" w:ascii="宋体" w:hAnsi="宋体" w:eastAsia="宋体"/>
          <w:sz w:val="24"/>
          <w:szCs w:val="24"/>
          <w:highlight w:val="none"/>
        </w:rPr>
        <w:t>。</w:t>
      </w:r>
      <w:r>
        <w:rPr>
          <w:rFonts w:ascii="宋体" w:hAnsi="宋体" w:eastAsia="宋体"/>
          <w:sz w:val="24"/>
          <w:szCs w:val="24"/>
          <w:highlight w:val="none"/>
          <w:shd w:val="pct10" w:color="auto" w:fill="FFFFFF"/>
        </w:rPr>
        <w:t>项目未进行分包的，对应格式章节需要填录包号的位置录入“/”或不填写</w:t>
      </w:r>
      <w:r>
        <w:rPr>
          <w:rFonts w:ascii="宋体" w:hAnsi="宋体" w:eastAsia="宋体"/>
          <w:sz w:val="24"/>
          <w:szCs w:val="24"/>
          <w:highlight w:val="none"/>
        </w:rPr>
        <w:t>。</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11.2 供应商应当对竞争性磋商响应文件进行不可拆卸式装订，对未经装订的磋商函可能发生的文件散落或缺损，由此产生的后果及责任由供应商自行承担。</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11.3 供应商应按照竞争性磋商文件第六章“响应文件格式”提供的《磋商函》、《报价一览表》、《报价明细表》</w:t>
      </w:r>
      <w:r>
        <w:rPr>
          <w:rFonts w:hint="eastAsia" w:ascii="宋体" w:hAnsi="宋体" w:eastAsia="宋体"/>
          <w:sz w:val="24"/>
          <w:szCs w:val="24"/>
          <w:highlight w:val="none"/>
        </w:rPr>
        <w:t>（如有）</w:t>
      </w:r>
      <w:r>
        <w:rPr>
          <w:rFonts w:ascii="宋体" w:hAnsi="宋体" w:eastAsia="宋体"/>
          <w:sz w:val="24"/>
          <w:szCs w:val="24"/>
          <w:highlight w:val="none"/>
        </w:rPr>
        <w:t>、《法定代表人资格证明书》、《法定代表人授权委托书》等格式、要求、规定来编制竞争性磋商响应文件。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11.4 供应商应对竞争性磋商响应文件中所提供资料的真实性负责，若有虚假，将依法承担相应责任。供应商须接受代理机构对其中任何资料进一步核实的要求。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11.5 因供应商竞争性磋商响应文件填报的内容不详，或没有提供竞争性磋商文件中所要求的全部资料及数据等，由此产生的后果及责任由供应商自行承担。</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11.6 竞争性磋商响应文件用纸应统一为A4规格（图纸除外）。</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12.磋商报价</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12.1 供应商所提供的服务均以人民币计价。</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12.2 供应商应按照第三章“</w:t>
      </w:r>
      <w:r>
        <w:rPr>
          <w:rFonts w:hint="eastAsia" w:ascii="宋体" w:hAnsi="宋体" w:eastAsia="宋体"/>
          <w:sz w:val="24"/>
          <w:szCs w:val="24"/>
          <w:highlight w:val="none"/>
        </w:rPr>
        <w:t>项目需求书</w:t>
      </w:r>
      <w:r>
        <w:rPr>
          <w:rFonts w:ascii="宋体" w:hAnsi="宋体" w:eastAsia="宋体"/>
          <w:sz w:val="24"/>
          <w:szCs w:val="24"/>
          <w:highlight w:val="none"/>
        </w:rPr>
        <w:t>”规定的服务内容、责任范围以及合同条款进行报价。并按照《报价一览表》和《报价明细表》</w:t>
      </w:r>
      <w:r>
        <w:rPr>
          <w:rFonts w:hint="eastAsia" w:ascii="宋体" w:hAnsi="宋体" w:eastAsia="宋体"/>
          <w:sz w:val="24"/>
          <w:szCs w:val="24"/>
          <w:highlight w:val="none"/>
        </w:rPr>
        <w:t>（如有）</w:t>
      </w:r>
      <w:r>
        <w:rPr>
          <w:rFonts w:ascii="宋体" w:hAnsi="宋体" w:eastAsia="宋体"/>
          <w:sz w:val="24"/>
          <w:szCs w:val="24"/>
          <w:highlight w:val="none"/>
        </w:rPr>
        <w:t>的格式报出分项价格和</w:t>
      </w:r>
      <w:r>
        <w:rPr>
          <w:rFonts w:hint="eastAsia" w:ascii="宋体" w:hAnsi="宋体" w:eastAsia="宋体"/>
          <w:sz w:val="24"/>
          <w:szCs w:val="24"/>
          <w:highlight w:val="none"/>
        </w:rPr>
        <w:t>磋商</w:t>
      </w:r>
      <w:r>
        <w:rPr>
          <w:rFonts w:ascii="宋体" w:hAnsi="宋体" w:eastAsia="宋体"/>
          <w:sz w:val="24"/>
          <w:szCs w:val="24"/>
          <w:highlight w:val="none"/>
        </w:rPr>
        <w:t>总价。报价上的优惠应体现在各分项报价中，</w:t>
      </w:r>
      <w:r>
        <w:rPr>
          <w:rFonts w:hint="eastAsia" w:ascii="宋体" w:hAnsi="宋体" w:eastAsia="宋体"/>
          <w:sz w:val="24"/>
          <w:szCs w:val="24"/>
          <w:highlight w:val="none"/>
        </w:rPr>
        <w:t>磋商</w:t>
      </w:r>
      <w:r>
        <w:rPr>
          <w:rFonts w:ascii="宋体" w:hAnsi="宋体" w:eastAsia="宋体"/>
          <w:sz w:val="24"/>
          <w:szCs w:val="24"/>
          <w:highlight w:val="none"/>
        </w:rPr>
        <w:t>总价应为优惠后的最终报价。</w:t>
      </w:r>
      <w:r>
        <w:rPr>
          <w:rFonts w:hint="eastAsia" w:ascii="宋体" w:hAnsi="宋体" w:eastAsia="宋体"/>
          <w:sz w:val="24"/>
          <w:szCs w:val="24"/>
          <w:highlight w:val="none"/>
        </w:rPr>
        <w:t>磋商</w:t>
      </w:r>
      <w:r>
        <w:rPr>
          <w:rFonts w:ascii="宋体" w:hAnsi="宋体" w:eastAsia="宋体"/>
          <w:sz w:val="24"/>
          <w:szCs w:val="24"/>
          <w:highlight w:val="none"/>
        </w:rPr>
        <w:t>总价中不得包含竞争性磋商文件要求以外的内容，否则，在评审时不予核减。</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12.3 《报价明细表》填写时应响应下列要求：</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12.3.1 应包括所有根据合同或其他原因由供应商支付的款项、费用；</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12.3.2 应包含货物运至目的地的运输、保险和伴随服务的有关费用；</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12.3.3 应详细提供《报价明细表》等内容，否则按照无效响应处理。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12.4 每一种规格的服务只允许有一个报价，否则按照无效</w:t>
      </w:r>
      <w:r>
        <w:rPr>
          <w:rFonts w:hint="eastAsia" w:ascii="宋体" w:hAnsi="宋体" w:eastAsia="宋体"/>
          <w:sz w:val="24"/>
          <w:szCs w:val="24"/>
          <w:highlight w:val="none"/>
        </w:rPr>
        <w:t>响应</w:t>
      </w:r>
      <w:r>
        <w:rPr>
          <w:rFonts w:ascii="宋体" w:hAnsi="宋体" w:eastAsia="宋体"/>
          <w:sz w:val="24"/>
          <w:szCs w:val="24"/>
          <w:highlight w:val="none"/>
        </w:rPr>
        <w:t>处理。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12.5 供应商的</w:t>
      </w:r>
      <w:r>
        <w:rPr>
          <w:rFonts w:hint="eastAsia" w:ascii="宋体" w:hAnsi="宋体" w:eastAsia="宋体"/>
          <w:sz w:val="24"/>
          <w:szCs w:val="24"/>
          <w:highlight w:val="none"/>
        </w:rPr>
        <w:t>磋商</w:t>
      </w:r>
      <w:r>
        <w:rPr>
          <w:rFonts w:ascii="宋体" w:hAnsi="宋体" w:eastAsia="宋体"/>
          <w:sz w:val="24"/>
          <w:szCs w:val="24"/>
          <w:highlight w:val="none"/>
        </w:rPr>
        <w:t>总报价在合同执行过程中是固定不变的，不得以任何理由予以变更。故供应商的</w:t>
      </w:r>
      <w:r>
        <w:rPr>
          <w:rFonts w:hint="eastAsia" w:ascii="宋体" w:hAnsi="宋体" w:eastAsia="宋体"/>
          <w:sz w:val="24"/>
          <w:szCs w:val="24"/>
          <w:highlight w:val="none"/>
        </w:rPr>
        <w:t>磋商</w:t>
      </w:r>
      <w:r>
        <w:rPr>
          <w:rFonts w:ascii="宋体" w:hAnsi="宋体" w:eastAsia="宋体"/>
          <w:sz w:val="24"/>
          <w:szCs w:val="24"/>
          <w:highlight w:val="none"/>
        </w:rPr>
        <w:t>总报价应包含本</w:t>
      </w:r>
      <w:r>
        <w:rPr>
          <w:rFonts w:hint="eastAsia" w:ascii="宋体" w:hAnsi="宋体" w:eastAsia="宋体"/>
          <w:sz w:val="24"/>
          <w:szCs w:val="24"/>
          <w:highlight w:val="none"/>
        </w:rPr>
        <w:t>采购</w:t>
      </w:r>
      <w:r>
        <w:rPr>
          <w:rFonts w:ascii="宋体" w:hAnsi="宋体" w:eastAsia="宋体"/>
          <w:sz w:val="24"/>
          <w:szCs w:val="24"/>
          <w:highlight w:val="none"/>
        </w:rPr>
        <w:t>内容全部工作所需的一切费用，即</w:t>
      </w:r>
      <w:r>
        <w:rPr>
          <w:rFonts w:hint="eastAsia" w:ascii="宋体" w:hAnsi="宋体" w:eastAsia="宋体"/>
          <w:sz w:val="24"/>
          <w:szCs w:val="24"/>
          <w:highlight w:val="none"/>
        </w:rPr>
        <w:t>磋商</w:t>
      </w:r>
      <w:r>
        <w:rPr>
          <w:rFonts w:ascii="宋体" w:hAnsi="宋体" w:eastAsia="宋体"/>
          <w:sz w:val="24"/>
          <w:szCs w:val="24"/>
          <w:highlight w:val="none"/>
        </w:rPr>
        <w:t>总报价为“交钥匙”价。对在合同实施过程中可能发生的其它费用（如：增加耗材、材料涨价、人工、运输成本增加等因素），采购人不予支付。</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12.6 对于竞争性磋商文件未列明，而供应商认为必需的费用也需列入其磋商总价。在合同实施时，采购人将不予支付供应商没有列入的项目费用，并认为此项目的费用已包括在其磋商总价中。</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12.7 供应商应对项目</w:t>
      </w:r>
      <w:r>
        <w:rPr>
          <w:rFonts w:hint="eastAsia" w:ascii="宋体" w:hAnsi="宋体" w:eastAsia="宋体"/>
          <w:sz w:val="24"/>
          <w:szCs w:val="24"/>
          <w:highlight w:val="none"/>
        </w:rPr>
        <w:t>采购</w:t>
      </w:r>
      <w:r>
        <w:rPr>
          <w:rFonts w:ascii="宋体" w:hAnsi="宋体" w:eastAsia="宋体"/>
          <w:sz w:val="24"/>
          <w:szCs w:val="24"/>
          <w:highlight w:val="none"/>
        </w:rPr>
        <w:t>范围内的全部内容进行报价，不得缺、漏项或只投其中的部分内容的，否则按照无效响应处理。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13.备选方案</w:t>
      </w:r>
    </w:p>
    <w:p>
      <w:pPr>
        <w:adjustRightInd w:val="0"/>
        <w:snapToGrid w:val="0"/>
        <w:spacing w:line="360" w:lineRule="auto"/>
        <w:ind w:firstLine="360" w:firstLineChars="150"/>
        <w:rPr>
          <w:rFonts w:ascii="宋体" w:hAnsi="宋体" w:eastAsia="宋体"/>
          <w:sz w:val="24"/>
          <w:szCs w:val="24"/>
          <w:highlight w:val="none"/>
        </w:rPr>
      </w:pPr>
      <w:r>
        <w:rPr>
          <w:rFonts w:hint="eastAsia" w:ascii="宋体" w:hAnsi="宋体" w:eastAsia="宋体"/>
          <w:sz w:val="24"/>
          <w:szCs w:val="24"/>
          <w:highlight w:val="none"/>
        </w:rPr>
        <w:t>只允许供应商提供一个磋商方案（竞争性磋商文件中要求提供备选方案的除外），否则按照无效响应处理。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14.</w:t>
      </w:r>
      <w:r>
        <w:rPr>
          <w:rFonts w:hint="eastAsia" w:ascii="宋体" w:hAnsi="宋体" w:eastAsia="宋体"/>
          <w:sz w:val="24"/>
          <w:szCs w:val="24"/>
          <w:highlight w:val="none"/>
        </w:rPr>
        <w:t>成交</w:t>
      </w:r>
      <w:r>
        <w:rPr>
          <w:rFonts w:ascii="宋体" w:hAnsi="宋体" w:eastAsia="宋体"/>
          <w:sz w:val="24"/>
          <w:szCs w:val="24"/>
          <w:highlight w:val="none"/>
        </w:rPr>
        <w:t>后分包</w:t>
      </w:r>
    </w:p>
    <w:p>
      <w:pPr>
        <w:adjustRightInd w:val="0"/>
        <w:snapToGrid w:val="0"/>
        <w:spacing w:line="360" w:lineRule="auto"/>
        <w:ind w:firstLine="360" w:firstLineChars="150"/>
        <w:rPr>
          <w:rFonts w:ascii="宋体" w:hAnsi="宋体" w:eastAsia="宋体"/>
          <w:sz w:val="24"/>
          <w:szCs w:val="24"/>
          <w:highlight w:val="none"/>
        </w:rPr>
      </w:pPr>
      <w:r>
        <w:rPr>
          <w:rFonts w:hint="eastAsia" w:ascii="宋体" w:hAnsi="宋体" w:eastAsia="宋体"/>
          <w:sz w:val="24"/>
          <w:szCs w:val="24"/>
          <w:highlight w:val="none"/>
        </w:rPr>
        <w:t>竞争性磋商文件规定项目非主体、非关键性工作成交后可以分包的，供应商拟在成交后将项目的非主体、非关键性工作分包，应当在竞争性磋商响应文件中载明具备相应资质条件的分包承担主体，分包承担主体不得再次分包。</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15.联合体</w:t>
      </w:r>
      <w:r>
        <w:rPr>
          <w:rFonts w:hint="eastAsia" w:ascii="宋体" w:hAnsi="宋体" w:eastAsia="宋体"/>
          <w:sz w:val="24"/>
          <w:szCs w:val="24"/>
          <w:highlight w:val="none"/>
        </w:rPr>
        <w:t>磋商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15.1 两个及以上供应商可以组成一个联合体，以一个供应商的身份共同参与</w:t>
      </w:r>
      <w:r>
        <w:rPr>
          <w:rFonts w:hint="eastAsia" w:ascii="宋体" w:hAnsi="宋体" w:eastAsia="宋体"/>
          <w:sz w:val="24"/>
          <w:szCs w:val="24"/>
          <w:highlight w:val="none"/>
        </w:rPr>
        <w:t>磋商</w:t>
      </w:r>
      <w:r>
        <w:rPr>
          <w:rFonts w:ascii="宋体" w:hAnsi="宋体" w:eastAsia="宋体"/>
          <w:sz w:val="24"/>
          <w:szCs w:val="24"/>
          <w:highlight w:val="none"/>
        </w:rPr>
        <w:t>。</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15.2 采取联合体形式</w:t>
      </w:r>
      <w:r>
        <w:rPr>
          <w:rFonts w:hint="eastAsia" w:ascii="宋体" w:hAnsi="宋体" w:eastAsia="宋体"/>
          <w:sz w:val="24"/>
          <w:szCs w:val="24"/>
          <w:highlight w:val="none"/>
        </w:rPr>
        <w:t>磋商</w:t>
      </w:r>
      <w:r>
        <w:rPr>
          <w:rFonts w:ascii="宋体" w:hAnsi="宋体" w:eastAsia="宋体"/>
          <w:sz w:val="24"/>
          <w:szCs w:val="24"/>
          <w:highlight w:val="none"/>
        </w:rPr>
        <w:t>的，联合体各方均应当符合政府采购法第二十二条第一款规定的条件。联合体的主体应完全满足项目供应商资格要求。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15.3 联合体各方之间应签订联合</w:t>
      </w:r>
      <w:r>
        <w:rPr>
          <w:rFonts w:hint="eastAsia" w:ascii="宋体" w:hAnsi="宋体" w:eastAsia="宋体"/>
          <w:sz w:val="24"/>
          <w:szCs w:val="24"/>
          <w:highlight w:val="none"/>
        </w:rPr>
        <w:t>体</w:t>
      </w:r>
      <w:r>
        <w:rPr>
          <w:rFonts w:ascii="宋体" w:hAnsi="宋体" w:eastAsia="宋体"/>
          <w:sz w:val="24"/>
          <w:szCs w:val="24"/>
          <w:highlight w:val="none"/>
        </w:rPr>
        <w:t>协议，明确约定联合体主体及各方承担的工作和相应的责任，其竞争性磋商响应文件中应提供联合</w:t>
      </w:r>
      <w:r>
        <w:rPr>
          <w:rFonts w:hint="eastAsia" w:ascii="宋体" w:hAnsi="宋体" w:eastAsia="宋体"/>
          <w:sz w:val="24"/>
          <w:szCs w:val="24"/>
          <w:highlight w:val="none"/>
        </w:rPr>
        <w:t>体</w:t>
      </w:r>
      <w:r>
        <w:rPr>
          <w:rFonts w:ascii="宋体" w:hAnsi="宋体" w:eastAsia="宋体"/>
          <w:sz w:val="24"/>
          <w:szCs w:val="24"/>
          <w:highlight w:val="none"/>
        </w:rPr>
        <w:t>协议。</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15.4 以联合体形式参加政府采购活动的，联合体各方不得再单独参加或者与其他供应商另外组成联合体参加同一合同项下的政府采购活动。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15.5 联合体</w:t>
      </w:r>
      <w:r>
        <w:rPr>
          <w:rFonts w:hint="eastAsia" w:ascii="宋体" w:hAnsi="宋体" w:eastAsia="宋体"/>
          <w:sz w:val="24"/>
          <w:szCs w:val="24"/>
          <w:highlight w:val="none"/>
        </w:rPr>
        <w:t>磋商</w:t>
      </w:r>
      <w:r>
        <w:rPr>
          <w:rFonts w:ascii="宋体" w:hAnsi="宋体" w:eastAsia="宋体"/>
          <w:sz w:val="24"/>
          <w:szCs w:val="24"/>
          <w:highlight w:val="none"/>
        </w:rPr>
        <w:t>的，其竞争性磋商响应文件应由联合体所有成员或其各自正式书面授权的代表签署（盖章），以便对所有成员作为整体及作为个体均具有法律约束力。</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15.6 联合体成交的，联合体各方应当共同与采购人签订采购合同，就采购合同约定的事项对采购人承担连带责任，联合体主体单位负主要责任。</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15.7 联合体中有同类资质的供应商按照联合体分工承担相同工作的，应当按照资质等级较低的供应商确定资质等级。</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15.8 竞争性磋商文件供应商资格要求中未载明是否接受联合体的视同接受。</w:t>
      </w:r>
    </w:p>
    <w:p>
      <w:pPr>
        <w:adjustRightInd w:val="0"/>
        <w:snapToGrid w:val="0"/>
        <w:spacing w:line="360" w:lineRule="auto"/>
        <w:ind w:left="720" w:hanging="720" w:hangingChars="300"/>
        <w:rPr>
          <w:rFonts w:ascii="宋体" w:hAnsi="宋体" w:eastAsia="宋体"/>
          <w:sz w:val="24"/>
          <w:szCs w:val="24"/>
          <w:highlight w:val="none"/>
        </w:rPr>
      </w:pPr>
      <w:r>
        <w:rPr>
          <w:rFonts w:ascii="宋体" w:hAnsi="宋体" w:eastAsia="宋体"/>
          <w:sz w:val="24"/>
          <w:szCs w:val="24"/>
          <w:highlight w:val="none"/>
        </w:rPr>
        <w:t>15.9 以联合体形式参与</w:t>
      </w:r>
      <w:r>
        <w:rPr>
          <w:rFonts w:hint="eastAsia" w:ascii="宋体" w:hAnsi="宋体" w:eastAsia="宋体"/>
          <w:sz w:val="24"/>
          <w:szCs w:val="24"/>
          <w:highlight w:val="none"/>
        </w:rPr>
        <w:t>磋商</w:t>
      </w:r>
      <w:r>
        <w:rPr>
          <w:rFonts w:ascii="宋体" w:hAnsi="宋体" w:eastAsia="宋体"/>
          <w:sz w:val="24"/>
          <w:szCs w:val="24"/>
          <w:highlight w:val="none"/>
        </w:rPr>
        <w:t>的，其价格扣除相关规定详见第四章“评审标准及方法”。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16.资格证明文件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16.1 供应商应按本节及第四章“</w:t>
      </w:r>
      <w:r>
        <w:rPr>
          <w:rFonts w:hint="eastAsia" w:ascii="宋体" w:hAnsi="宋体" w:eastAsia="宋体"/>
          <w:sz w:val="24"/>
          <w:szCs w:val="24"/>
          <w:highlight w:val="none"/>
        </w:rPr>
        <w:t>评审标准及方法</w:t>
      </w:r>
      <w:r>
        <w:rPr>
          <w:rFonts w:ascii="宋体" w:hAnsi="宋体" w:eastAsia="宋体"/>
          <w:sz w:val="24"/>
          <w:szCs w:val="24"/>
          <w:highlight w:val="none"/>
        </w:rPr>
        <w:t>”的要求，提供足以证明其符合项目“供应商资格要求”且成交后有能力履行合同的文件，并作为其竞争性磋商响应文件的组成部分。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16.2 资格证明文件应真实、合法，并就此承担相应法律责任。</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16.3 资格证明文件正本应为清晰影印件且加盖单位公章，否则按照无效响应处理。副本可为正本</w:t>
      </w:r>
      <w:r>
        <w:rPr>
          <w:rFonts w:hint="eastAsia" w:ascii="宋体" w:hAnsi="宋体" w:eastAsia="宋体"/>
          <w:sz w:val="24"/>
          <w:szCs w:val="24"/>
          <w:highlight w:val="none"/>
        </w:rPr>
        <w:t>盖章后</w:t>
      </w:r>
      <w:r>
        <w:rPr>
          <w:rFonts w:ascii="宋体" w:hAnsi="宋体" w:eastAsia="宋体"/>
          <w:sz w:val="24"/>
          <w:szCs w:val="24"/>
          <w:highlight w:val="none"/>
        </w:rPr>
        <w:t>的复印件,</w:t>
      </w:r>
      <w:r>
        <w:rPr>
          <w:rFonts w:hint="eastAsia" w:ascii="宋体" w:hAnsi="宋体" w:eastAsia="宋体"/>
          <w:sz w:val="24"/>
          <w:szCs w:val="24"/>
          <w:highlight w:val="none"/>
        </w:rPr>
        <w:t>同时</w:t>
      </w:r>
      <w:r>
        <w:rPr>
          <w:rFonts w:ascii="宋体" w:hAnsi="宋体" w:eastAsia="宋体"/>
          <w:sz w:val="24"/>
          <w:szCs w:val="24"/>
          <w:highlight w:val="none"/>
        </w:rPr>
        <w:t>应在副本封面加盖单位公章。</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16.4 资格证明文件内容详见第四章“资格审查方法及标准”中资格审查内容。</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17.</w:t>
      </w:r>
      <w:r>
        <w:rPr>
          <w:rFonts w:hint="eastAsia" w:ascii="宋体" w:hAnsi="宋体" w:eastAsia="宋体"/>
          <w:sz w:val="24"/>
          <w:szCs w:val="24"/>
          <w:highlight w:val="none"/>
        </w:rPr>
        <w:t>磋商</w:t>
      </w:r>
      <w:r>
        <w:rPr>
          <w:rFonts w:ascii="宋体" w:hAnsi="宋体" w:eastAsia="宋体"/>
          <w:sz w:val="24"/>
          <w:szCs w:val="24"/>
          <w:highlight w:val="none"/>
        </w:rPr>
        <w:t>有效期</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17.1 </w:t>
      </w:r>
      <w:r>
        <w:rPr>
          <w:rFonts w:hint="eastAsia" w:ascii="宋体" w:hAnsi="宋体" w:eastAsia="宋体"/>
          <w:sz w:val="24"/>
          <w:szCs w:val="24"/>
          <w:highlight w:val="none"/>
        </w:rPr>
        <w:t>磋商</w:t>
      </w:r>
      <w:r>
        <w:rPr>
          <w:rFonts w:ascii="宋体" w:hAnsi="宋体" w:eastAsia="宋体"/>
          <w:sz w:val="24"/>
          <w:szCs w:val="24"/>
          <w:highlight w:val="none"/>
        </w:rPr>
        <w:t>有效期详见本章“供应商须知前附表”中规定。竞争性磋商响应文件中承诺的</w:t>
      </w:r>
      <w:r>
        <w:rPr>
          <w:rFonts w:hint="eastAsia" w:ascii="宋体" w:hAnsi="宋体" w:eastAsia="宋体"/>
          <w:sz w:val="24"/>
          <w:szCs w:val="24"/>
          <w:highlight w:val="none"/>
        </w:rPr>
        <w:t>磋商</w:t>
      </w:r>
      <w:r>
        <w:rPr>
          <w:rFonts w:ascii="宋体" w:hAnsi="宋体" w:eastAsia="宋体"/>
          <w:sz w:val="24"/>
          <w:szCs w:val="24"/>
          <w:highlight w:val="none"/>
        </w:rPr>
        <w:t>有效期应当不少于竞争性磋商文件中载明的磋商有效期，否则按照无效响应处理。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17.2 特殊情况下，在原磋商有效期截止之前，代理机构或采购人可要求供应商延长磋商有效期。这种要求与答复均应以书面形式提交。供应商可拒绝代理机构或采购人的这种要求，但其</w:t>
      </w:r>
      <w:r>
        <w:rPr>
          <w:rFonts w:hint="eastAsia" w:ascii="宋体" w:hAnsi="宋体" w:eastAsia="宋体"/>
          <w:sz w:val="24"/>
          <w:szCs w:val="24"/>
          <w:highlight w:val="none"/>
        </w:rPr>
        <w:t>响应文件</w:t>
      </w:r>
      <w:r>
        <w:rPr>
          <w:rFonts w:ascii="宋体" w:hAnsi="宋体" w:eastAsia="宋体"/>
          <w:sz w:val="24"/>
          <w:szCs w:val="24"/>
          <w:highlight w:val="none"/>
        </w:rPr>
        <w:t>在原磋商有效期期满后将不再有效。同意延长磋商有效期的供应商不会被要求和允许修正其</w:t>
      </w:r>
      <w:r>
        <w:rPr>
          <w:rFonts w:hint="eastAsia" w:ascii="宋体" w:hAnsi="宋体" w:eastAsia="宋体"/>
          <w:sz w:val="24"/>
          <w:szCs w:val="24"/>
          <w:highlight w:val="none"/>
        </w:rPr>
        <w:t>所投</w:t>
      </w:r>
      <w:r>
        <w:rPr>
          <w:rFonts w:ascii="宋体" w:hAnsi="宋体" w:eastAsia="宋体"/>
          <w:sz w:val="24"/>
          <w:szCs w:val="24"/>
          <w:highlight w:val="none"/>
        </w:rPr>
        <w:t>内容。</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18.竞争性磋商响应文件的数量和签署</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18.1 供应商应按本章“供应商须知前附表”中规定的份数要求编制竞争性磋商响应文件。每套竞争性磋商响应文件应清楚地标明“正本”、“副本”。副本与正本不一致的，以正本为准。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18.2 竞争性磋商响应文件的正本应打印或用不褪色墨水书写，应由法定代表人或经其正式授权的代表签字或盖章。由被授权代表签字的，应以书面形式出具授权证明，其《法定代表人授权书》应附在竞争性磋商响应文件中。</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18.3 竞争性磋商响应文件中任何涂改和增删，应由法定代表人或经其正式授权的代表在旁边签字后方为有效。</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18.4 竞争性磋商文件中要求加盖公章及签字（签章）之处，竞争性磋商响应文件正本中应按要求提供加盖公章及签字（签章）的原件，否则按照无效响应处理。</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19.竞争性磋商响应文件的密封和标记</w:t>
      </w:r>
    </w:p>
    <w:p>
      <w:pPr>
        <w:adjustRightInd w:val="0"/>
        <w:snapToGrid w:val="0"/>
        <w:spacing w:line="360" w:lineRule="auto"/>
        <w:ind w:left="600" w:hanging="600" w:hangingChars="250"/>
        <w:rPr>
          <w:rFonts w:ascii="宋体" w:hAnsi="宋体" w:eastAsia="宋体"/>
          <w:sz w:val="24"/>
          <w:szCs w:val="24"/>
          <w:highlight w:val="none"/>
        </w:rPr>
      </w:pPr>
      <w:bookmarkStart w:id="36" w:name="_Hlk64622016"/>
      <w:r>
        <w:rPr>
          <w:rFonts w:hint="eastAsia" w:ascii="宋体" w:hAnsi="宋体" w:eastAsia="宋体"/>
          <w:sz w:val="24"/>
          <w:szCs w:val="24"/>
          <w:highlight w:val="none"/>
        </w:rPr>
        <w:t>1</w:t>
      </w:r>
      <w:r>
        <w:rPr>
          <w:rFonts w:ascii="宋体" w:hAnsi="宋体" w:eastAsia="宋体"/>
          <w:sz w:val="24"/>
          <w:szCs w:val="24"/>
          <w:highlight w:val="none"/>
        </w:rPr>
        <w:t>9</w:t>
      </w:r>
      <w:r>
        <w:rPr>
          <w:rFonts w:hint="eastAsia" w:ascii="宋体" w:hAnsi="宋体" w:eastAsia="宋体"/>
          <w:sz w:val="24"/>
          <w:szCs w:val="24"/>
          <w:highlight w:val="none"/>
        </w:rPr>
        <w:t>.</w:t>
      </w:r>
      <w:r>
        <w:rPr>
          <w:rFonts w:ascii="宋体" w:hAnsi="宋体" w:eastAsia="宋体"/>
          <w:sz w:val="24"/>
          <w:szCs w:val="24"/>
          <w:highlight w:val="none"/>
        </w:rPr>
        <w:t>1</w:t>
      </w:r>
      <w:r>
        <w:rPr>
          <w:rFonts w:hint="eastAsia" w:ascii="宋体" w:hAnsi="宋体" w:eastAsia="宋体"/>
          <w:sz w:val="24"/>
          <w:szCs w:val="24"/>
          <w:highlight w:val="none"/>
        </w:rPr>
        <w:t xml:space="preserve"> 供应商应将本项目所投包（如有分包）单独编制一份竞争性磋商响应文件，每本竞争性磋商响应文件各自分开装订成不可拆卸式的，并在竞争性磋商响应文件封面上注明“正本”或“副本”字样。再将竞争性磋商响应文件正本和所有副本一起密封在一个封包内。</w:t>
      </w:r>
      <w:r>
        <w:rPr>
          <w:rFonts w:hint="eastAsia" w:ascii="宋体" w:hAnsi="宋体" w:eastAsia="宋体"/>
          <w:sz w:val="24"/>
          <w:szCs w:val="24"/>
          <w:highlight w:val="none"/>
          <w:shd w:val="pct10" w:color="auto" w:fill="FFFFFF"/>
        </w:rPr>
        <w:t>（封包1）</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19.2 供应商须将电子版竞争性磋商响应文件存档介质（U盘）也单独密封于一个封包内，并在封包上注明“电子版竞争性磋商响应文件”字样。</w:t>
      </w:r>
      <w:r>
        <w:rPr>
          <w:rFonts w:ascii="宋体" w:hAnsi="宋体" w:eastAsia="宋体"/>
          <w:sz w:val="24"/>
          <w:szCs w:val="24"/>
          <w:highlight w:val="none"/>
          <w:shd w:val="pct10" w:color="auto" w:fill="FFFFFF"/>
        </w:rPr>
        <w:t>（封包2）</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19.3 竞争性磋商文件如对相关证明资料有原件要求的，所有的原件以及原件清单也须一起密封于一个封包内，并在封包上注明“相关证明原件”字样。</w:t>
      </w:r>
      <w:r>
        <w:rPr>
          <w:rFonts w:ascii="宋体" w:hAnsi="宋体" w:eastAsia="宋体"/>
          <w:sz w:val="24"/>
          <w:szCs w:val="24"/>
          <w:highlight w:val="none"/>
          <w:shd w:val="pct10" w:color="auto" w:fill="FFFFFF"/>
        </w:rPr>
        <w:t>（封包3）</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19.4 所有封包上均须注明项目编号、项目名称、供应商名称以及“在（竞争性磋商文件中规定的</w:t>
      </w:r>
      <w:r>
        <w:rPr>
          <w:rFonts w:hint="eastAsia" w:ascii="宋体" w:hAnsi="宋体" w:eastAsia="宋体"/>
          <w:sz w:val="24"/>
          <w:szCs w:val="24"/>
          <w:highlight w:val="none"/>
        </w:rPr>
        <w:t>磋商</w:t>
      </w:r>
      <w:r>
        <w:rPr>
          <w:rFonts w:ascii="宋体" w:hAnsi="宋体" w:eastAsia="宋体"/>
          <w:sz w:val="24"/>
          <w:szCs w:val="24"/>
          <w:highlight w:val="none"/>
        </w:rPr>
        <w:t>日期和时间）之前不得启封”的字样，封口处加盖供应商公章。</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19.5 未按竞争性磋商文件要求</w:t>
      </w:r>
      <w:r>
        <w:rPr>
          <w:rFonts w:hint="eastAsia" w:ascii="宋体" w:hAnsi="宋体" w:eastAsia="宋体"/>
          <w:sz w:val="24"/>
          <w:szCs w:val="24"/>
          <w:highlight w:val="none"/>
        </w:rPr>
        <w:t>进行</w:t>
      </w:r>
      <w:r>
        <w:rPr>
          <w:rFonts w:ascii="宋体" w:hAnsi="宋体" w:eastAsia="宋体"/>
          <w:sz w:val="24"/>
          <w:szCs w:val="24"/>
          <w:highlight w:val="none"/>
        </w:rPr>
        <w:t>密封、标记或存在错误，代理机构对其误投或提前启封概不负责。</w:t>
      </w:r>
    </w:p>
    <w:bookmarkEnd w:id="36"/>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20.竞争性磋商响应文件递交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20.1 供应商应在不迟于竞争性磋商公告中规定的</w:t>
      </w:r>
      <w:r>
        <w:rPr>
          <w:rFonts w:hint="eastAsia" w:ascii="宋体" w:hAnsi="宋体" w:eastAsia="宋体"/>
          <w:sz w:val="24"/>
          <w:szCs w:val="24"/>
          <w:highlight w:val="none"/>
        </w:rPr>
        <w:t>竞争性磋商响应文件递交</w:t>
      </w:r>
      <w:r>
        <w:rPr>
          <w:rFonts w:ascii="宋体" w:hAnsi="宋体" w:eastAsia="宋体"/>
          <w:sz w:val="24"/>
          <w:szCs w:val="24"/>
          <w:highlight w:val="none"/>
        </w:rPr>
        <w:t>截止日期和时间将竞争性磋商响应文件密封递交至代理机构规定的</w:t>
      </w:r>
      <w:r>
        <w:rPr>
          <w:rFonts w:hint="eastAsia" w:ascii="宋体" w:hAnsi="宋体" w:eastAsia="宋体"/>
          <w:sz w:val="24"/>
          <w:szCs w:val="24"/>
          <w:highlight w:val="none"/>
        </w:rPr>
        <w:t>磋商</w:t>
      </w:r>
      <w:r>
        <w:rPr>
          <w:rFonts w:ascii="宋体" w:hAnsi="宋体" w:eastAsia="宋体"/>
          <w:sz w:val="24"/>
          <w:szCs w:val="24"/>
          <w:highlight w:val="none"/>
        </w:rPr>
        <w:t>地点。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20.2 代理机构拒收逾期送达或者未按竞争性磋商文件要求密封的竞争性磋商响应文件。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20.3 代理机构收到竞争性磋商响应文件后，应当如实记载竞争性磋商响应文件的送达时间和密封情况，签收保存，并向供应商出具签收回执。</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21.竞争性磋商响应文件的修改和撤回</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21.1 供应商在</w:t>
      </w:r>
      <w:r>
        <w:rPr>
          <w:rFonts w:hint="eastAsia" w:ascii="宋体" w:hAnsi="宋体" w:eastAsia="宋体"/>
          <w:sz w:val="24"/>
          <w:szCs w:val="24"/>
          <w:highlight w:val="none"/>
        </w:rPr>
        <w:t>竞争性磋商响应文件递交</w:t>
      </w:r>
      <w:r>
        <w:rPr>
          <w:rFonts w:ascii="宋体" w:hAnsi="宋体" w:eastAsia="宋体"/>
          <w:sz w:val="24"/>
          <w:szCs w:val="24"/>
          <w:highlight w:val="none"/>
        </w:rPr>
        <w:t>截止时间前，可以对所递交的竞争性磋商响应文件进行补充、修改或者撤回，并书面通知代理机构。补充、修改的内容应当按照竞争性磋商文件要求签署、盖章、密封后，作为竞争性磋商响应文件的组成部分。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21.2 供应商所递交的竞争性磋商响应文件无论成交与否，均不予退还。</w:t>
      </w:r>
    </w:p>
    <w:bookmarkEnd w:id="35"/>
    <w:p>
      <w:pPr>
        <w:pStyle w:val="4"/>
        <w:jc w:val="center"/>
        <w:rPr>
          <w:sz w:val="32"/>
          <w:highlight w:val="none"/>
        </w:rPr>
      </w:pPr>
      <w:bookmarkStart w:id="37" w:name="_Toc65158784"/>
      <w:bookmarkStart w:id="38" w:name="_Hlk64727481"/>
      <w:r>
        <w:rPr>
          <w:rFonts w:hint="eastAsia"/>
          <w:sz w:val="32"/>
          <w:highlight w:val="none"/>
        </w:rPr>
        <w:t>磋商与评审</w:t>
      </w:r>
      <w:bookmarkEnd w:id="37"/>
    </w:p>
    <w:p>
      <w:pPr>
        <w:adjustRightInd w:val="0"/>
        <w:snapToGrid w:val="0"/>
        <w:spacing w:line="360" w:lineRule="auto"/>
        <w:rPr>
          <w:rFonts w:ascii="宋体" w:hAnsi="宋体" w:eastAsia="宋体"/>
          <w:sz w:val="24"/>
          <w:szCs w:val="24"/>
          <w:highlight w:val="none"/>
        </w:rPr>
      </w:pPr>
      <w:bookmarkStart w:id="39" w:name="_Hlk64727548"/>
      <w:bookmarkStart w:id="40" w:name="_Hlk64727701"/>
      <w:r>
        <w:rPr>
          <w:rFonts w:ascii="宋体" w:hAnsi="宋体" w:eastAsia="宋体"/>
          <w:sz w:val="24"/>
          <w:szCs w:val="24"/>
          <w:highlight w:val="none"/>
        </w:rPr>
        <w:t>22.组织</w:t>
      </w:r>
      <w:r>
        <w:rPr>
          <w:rFonts w:hint="eastAsia" w:ascii="宋体" w:hAnsi="宋体" w:eastAsia="宋体"/>
          <w:sz w:val="24"/>
          <w:szCs w:val="24"/>
          <w:highlight w:val="none"/>
        </w:rPr>
        <w:t>磋商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22.1 代理机构在第一章“</w:t>
      </w:r>
      <w:r>
        <w:rPr>
          <w:rFonts w:hint="eastAsia" w:ascii="宋体" w:hAnsi="宋体" w:eastAsia="宋体"/>
          <w:sz w:val="24"/>
          <w:szCs w:val="24"/>
          <w:highlight w:val="none"/>
        </w:rPr>
        <w:t>竞争性磋商公告</w:t>
      </w:r>
      <w:r>
        <w:rPr>
          <w:rFonts w:ascii="宋体" w:hAnsi="宋体" w:eastAsia="宋体"/>
          <w:sz w:val="24"/>
          <w:szCs w:val="24"/>
          <w:highlight w:val="none"/>
        </w:rPr>
        <w:t>”中约定的日期、时间和地点组织</w:t>
      </w:r>
      <w:r>
        <w:rPr>
          <w:rFonts w:hint="eastAsia" w:ascii="宋体" w:hAnsi="宋体" w:eastAsia="宋体"/>
          <w:sz w:val="24"/>
          <w:szCs w:val="24"/>
          <w:highlight w:val="none"/>
        </w:rPr>
        <w:t>磋商会议</w:t>
      </w:r>
      <w:r>
        <w:rPr>
          <w:rFonts w:ascii="宋体" w:hAnsi="宋体" w:eastAsia="宋体"/>
          <w:sz w:val="24"/>
          <w:szCs w:val="24"/>
          <w:highlight w:val="none"/>
        </w:rPr>
        <w:t>。</w:t>
      </w:r>
      <w:r>
        <w:rPr>
          <w:rFonts w:hint="eastAsia" w:ascii="宋体" w:hAnsi="宋体" w:eastAsia="宋体"/>
          <w:sz w:val="24"/>
          <w:szCs w:val="24"/>
          <w:highlight w:val="none"/>
        </w:rPr>
        <w:t>磋商会议需</w:t>
      </w:r>
      <w:r>
        <w:rPr>
          <w:rFonts w:ascii="宋体" w:hAnsi="宋体" w:eastAsia="宋体"/>
          <w:sz w:val="24"/>
          <w:szCs w:val="24"/>
          <w:highlight w:val="none"/>
        </w:rPr>
        <w:t>采购人和供应商代表（供应商法定代表人或其授权代表）参加,参加</w:t>
      </w:r>
      <w:r>
        <w:rPr>
          <w:rFonts w:hint="eastAsia" w:ascii="宋体" w:hAnsi="宋体" w:eastAsia="宋体"/>
          <w:sz w:val="24"/>
          <w:szCs w:val="24"/>
          <w:highlight w:val="none"/>
        </w:rPr>
        <w:t>磋商</w:t>
      </w:r>
      <w:r>
        <w:rPr>
          <w:rFonts w:ascii="宋体" w:hAnsi="宋体" w:eastAsia="宋体"/>
          <w:sz w:val="24"/>
          <w:szCs w:val="24"/>
          <w:highlight w:val="none"/>
        </w:rPr>
        <w:t>的代表应签到以证明其出席。</w:t>
      </w:r>
    </w:p>
    <w:bookmarkEnd w:id="39"/>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22.2 供应商法定代表人或其授权代表应携带有效身份证明参加</w:t>
      </w:r>
      <w:r>
        <w:rPr>
          <w:rFonts w:hint="eastAsia" w:ascii="宋体" w:hAnsi="宋体" w:eastAsia="宋体"/>
          <w:sz w:val="24"/>
          <w:szCs w:val="24"/>
          <w:highlight w:val="none"/>
        </w:rPr>
        <w:t>磋商会议</w:t>
      </w:r>
      <w:r>
        <w:rPr>
          <w:rFonts w:ascii="宋体" w:hAnsi="宋体" w:eastAsia="宋体"/>
          <w:sz w:val="24"/>
          <w:szCs w:val="24"/>
          <w:highlight w:val="none"/>
        </w:rPr>
        <w:t>，供应商未参加</w:t>
      </w:r>
      <w:r>
        <w:rPr>
          <w:rFonts w:hint="eastAsia" w:ascii="宋体" w:hAnsi="宋体" w:eastAsia="宋体"/>
          <w:sz w:val="24"/>
          <w:szCs w:val="24"/>
          <w:highlight w:val="none"/>
        </w:rPr>
        <w:t>磋商会议</w:t>
      </w:r>
      <w:r>
        <w:rPr>
          <w:rFonts w:ascii="宋体" w:hAnsi="宋体" w:eastAsia="宋体"/>
          <w:sz w:val="24"/>
          <w:szCs w:val="24"/>
          <w:highlight w:val="none"/>
        </w:rPr>
        <w:t>的视同认可</w:t>
      </w:r>
      <w:r>
        <w:rPr>
          <w:rFonts w:hint="eastAsia" w:ascii="宋体" w:hAnsi="宋体" w:eastAsia="宋体"/>
          <w:sz w:val="24"/>
          <w:szCs w:val="24"/>
          <w:highlight w:val="none"/>
        </w:rPr>
        <w:t>磋商会议的</w:t>
      </w:r>
      <w:r>
        <w:rPr>
          <w:rFonts w:ascii="宋体" w:hAnsi="宋体" w:eastAsia="宋体"/>
          <w:sz w:val="24"/>
          <w:szCs w:val="24"/>
          <w:highlight w:val="none"/>
        </w:rPr>
        <w:t>结果。有效身份证明按照《中华人民共和国居民身份证法》的约定执行。</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22.3 </w:t>
      </w:r>
      <w:r>
        <w:rPr>
          <w:rFonts w:hint="eastAsia" w:ascii="宋体" w:hAnsi="宋体" w:eastAsia="宋体"/>
          <w:sz w:val="24"/>
          <w:szCs w:val="24"/>
          <w:highlight w:val="none"/>
        </w:rPr>
        <w:t>磋商会议上</w:t>
      </w:r>
      <w:r>
        <w:rPr>
          <w:rFonts w:ascii="宋体" w:hAnsi="宋体" w:eastAsia="宋体"/>
          <w:sz w:val="24"/>
          <w:szCs w:val="24"/>
          <w:highlight w:val="none"/>
        </w:rPr>
        <w:t>，由供应商代表或其推选的代表检查竞争性磋商响应文件的密封情况，经确认无误后由代理机构工作人员当众拆封，宣布供应商名称、</w:t>
      </w:r>
      <w:r>
        <w:rPr>
          <w:rFonts w:hint="eastAsia" w:ascii="宋体" w:hAnsi="宋体" w:eastAsia="宋体"/>
          <w:sz w:val="24"/>
          <w:szCs w:val="24"/>
          <w:highlight w:val="none"/>
        </w:rPr>
        <w:t>密封情况</w:t>
      </w:r>
      <w:r>
        <w:rPr>
          <w:rFonts w:ascii="宋体" w:hAnsi="宋体" w:eastAsia="宋体"/>
          <w:sz w:val="24"/>
          <w:szCs w:val="24"/>
          <w:highlight w:val="none"/>
        </w:rPr>
        <w:t>和竞争性磋商文件规定的需要宣布的其他内容。</w:t>
      </w:r>
    </w:p>
    <w:bookmarkEnd w:id="40"/>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22.4 代理机构负责对</w:t>
      </w:r>
      <w:r>
        <w:rPr>
          <w:rFonts w:hint="eastAsia" w:ascii="宋体" w:hAnsi="宋体" w:eastAsia="宋体"/>
          <w:sz w:val="24"/>
          <w:szCs w:val="24"/>
          <w:highlight w:val="none"/>
        </w:rPr>
        <w:t>磋商会议</w:t>
      </w:r>
      <w:r>
        <w:rPr>
          <w:rFonts w:ascii="宋体" w:hAnsi="宋体" w:eastAsia="宋体"/>
          <w:sz w:val="24"/>
          <w:szCs w:val="24"/>
          <w:highlight w:val="none"/>
        </w:rPr>
        <w:t>过程进行记录，由参加</w:t>
      </w:r>
      <w:r>
        <w:rPr>
          <w:rFonts w:hint="eastAsia" w:ascii="宋体" w:hAnsi="宋体" w:eastAsia="宋体"/>
          <w:sz w:val="24"/>
          <w:szCs w:val="24"/>
          <w:highlight w:val="none"/>
        </w:rPr>
        <w:t>磋商</w:t>
      </w:r>
      <w:r>
        <w:rPr>
          <w:rFonts w:ascii="宋体" w:hAnsi="宋体" w:eastAsia="宋体"/>
          <w:sz w:val="24"/>
          <w:szCs w:val="24"/>
          <w:highlight w:val="none"/>
        </w:rPr>
        <w:t>的各供应商代表和相关工作人员对</w:t>
      </w:r>
      <w:r>
        <w:rPr>
          <w:rFonts w:hint="eastAsia" w:ascii="宋体" w:hAnsi="宋体" w:eastAsia="宋体"/>
          <w:sz w:val="24"/>
          <w:szCs w:val="24"/>
          <w:highlight w:val="none"/>
        </w:rPr>
        <w:t>磋商</w:t>
      </w:r>
      <w:r>
        <w:rPr>
          <w:rFonts w:ascii="宋体" w:hAnsi="宋体" w:eastAsia="宋体"/>
          <w:sz w:val="24"/>
          <w:szCs w:val="24"/>
          <w:highlight w:val="none"/>
        </w:rPr>
        <w:t>记录进行签字确认。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22.5 供应商代表对</w:t>
      </w:r>
      <w:r>
        <w:rPr>
          <w:rFonts w:hint="eastAsia" w:ascii="宋体" w:hAnsi="宋体" w:eastAsia="宋体"/>
          <w:sz w:val="24"/>
          <w:szCs w:val="24"/>
          <w:highlight w:val="none"/>
        </w:rPr>
        <w:t>磋商会议</w:t>
      </w:r>
      <w:r>
        <w:rPr>
          <w:rFonts w:ascii="宋体" w:hAnsi="宋体" w:eastAsia="宋体"/>
          <w:sz w:val="24"/>
          <w:szCs w:val="24"/>
          <w:highlight w:val="none"/>
        </w:rPr>
        <w:t>过程和</w:t>
      </w:r>
      <w:r>
        <w:rPr>
          <w:rFonts w:hint="eastAsia" w:ascii="宋体" w:hAnsi="宋体" w:eastAsia="宋体"/>
          <w:sz w:val="24"/>
          <w:szCs w:val="24"/>
          <w:highlight w:val="none"/>
        </w:rPr>
        <w:t>磋商</w:t>
      </w:r>
      <w:r>
        <w:rPr>
          <w:rFonts w:ascii="宋体" w:hAnsi="宋体" w:eastAsia="宋体"/>
          <w:sz w:val="24"/>
          <w:szCs w:val="24"/>
          <w:highlight w:val="none"/>
        </w:rPr>
        <w:t>记录有疑义，以及认为采购人、代理机构相关工作人员有需要回避的情形的，应当场提出询问或者回避申请。采购人、代理机构将及时处理供应商代表提出的询问或者回避申请。</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23.资格</w:t>
      </w:r>
      <w:r>
        <w:rPr>
          <w:rFonts w:hint="eastAsia" w:ascii="宋体" w:hAnsi="宋体" w:eastAsia="宋体"/>
          <w:sz w:val="24"/>
          <w:szCs w:val="24"/>
          <w:highlight w:val="none"/>
        </w:rPr>
        <w:t>及符合性</w:t>
      </w:r>
      <w:r>
        <w:rPr>
          <w:rFonts w:ascii="宋体" w:hAnsi="宋体" w:eastAsia="宋体"/>
          <w:sz w:val="24"/>
          <w:szCs w:val="24"/>
          <w:highlight w:val="none"/>
        </w:rPr>
        <w:t>审查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23.1 项目</w:t>
      </w:r>
      <w:r>
        <w:rPr>
          <w:rFonts w:hint="eastAsia" w:ascii="宋体" w:hAnsi="宋体" w:eastAsia="宋体"/>
          <w:sz w:val="24"/>
          <w:szCs w:val="24"/>
          <w:highlight w:val="none"/>
        </w:rPr>
        <w:t>磋商会议</w:t>
      </w:r>
      <w:r>
        <w:rPr>
          <w:rFonts w:ascii="宋体" w:hAnsi="宋体" w:eastAsia="宋体"/>
          <w:sz w:val="24"/>
          <w:szCs w:val="24"/>
          <w:highlight w:val="none"/>
        </w:rPr>
        <w:t>结束后，</w:t>
      </w:r>
      <w:r>
        <w:rPr>
          <w:rFonts w:hint="eastAsia" w:ascii="宋体" w:hAnsi="宋体" w:eastAsia="宋体"/>
          <w:sz w:val="24"/>
          <w:szCs w:val="24"/>
          <w:highlight w:val="none"/>
        </w:rPr>
        <w:t>磋商小组</w:t>
      </w:r>
      <w:r>
        <w:rPr>
          <w:rFonts w:ascii="宋体" w:hAnsi="宋体" w:eastAsia="宋体"/>
          <w:sz w:val="24"/>
          <w:szCs w:val="24"/>
          <w:highlight w:val="none"/>
        </w:rPr>
        <w:t>依据法律、法规及竞争性磋商文件的规定，对供应商进行</w:t>
      </w:r>
      <w:r>
        <w:rPr>
          <w:rFonts w:hint="eastAsia" w:ascii="宋体" w:hAnsi="宋体" w:eastAsia="宋体"/>
          <w:sz w:val="24"/>
          <w:szCs w:val="24"/>
          <w:highlight w:val="none"/>
        </w:rPr>
        <w:t>资格及符合性</w:t>
      </w:r>
      <w:r>
        <w:rPr>
          <w:rFonts w:ascii="宋体" w:hAnsi="宋体" w:eastAsia="宋体"/>
          <w:sz w:val="24"/>
          <w:szCs w:val="24"/>
          <w:highlight w:val="none"/>
        </w:rPr>
        <w:t>审查，以确定供应商资格是否</w:t>
      </w:r>
      <w:r>
        <w:rPr>
          <w:rFonts w:hint="eastAsia" w:ascii="宋体" w:hAnsi="宋体" w:eastAsia="宋体"/>
          <w:sz w:val="24"/>
          <w:szCs w:val="24"/>
          <w:highlight w:val="none"/>
        </w:rPr>
        <w:t>具备磋商资格</w:t>
      </w:r>
      <w:r>
        <w:rPr>
          <w:rFonts w:ascii="宋体" w:hAnsi="宋体" w:eastAsia="宋体"/>
          <w:sz w:val="24"/>
          <w:szCs w:val="24"/>
          <w:highlight w:val="none"/>
        </w:rPr>
        <w:t>。</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23.2 </w:t>
      </w:r>
      <w:r>
        <w:rPr>
          <w:rFonts w:hint="eastAsia" w:ascii="宋体" w:hAnsi="宋体" w:eastAsia="宋体"/>
          <w:sz w:val="24"/>
          <w:szCs w:val="24"/>
          <w:highlight w:val="none"/>
        </w:rPr>
        <w:t>具体</w:t>
      </w:r>
      <w:r>
        <w:rPr>
          <w:rFonts w:ascii="宋体" w:hAnsi="宋体" w:eastAsia="宋体"/>
          <w:sz w:val="24"/>
          <w:szCs w:val="24"/>
          <w:highlight w:val="none"/>
        </w:rPr>
        <w:t>资格</w:t>
      </w:r>
      <w:r>
        <w:rPr>
          <w:rFonts w:hint="eastAsia" w:ascii="宋体" w:hAnsi="宋体" w:eastAsia="宋体"/>
          <w:sz w:val="24"/>
          <w:szCs w:val="24"/>
          <w:highlight w:val="none"/>
        </w:rPr>
        <w:t>及符合性</w:t>
      </w:r>
      <w:r>
        <w:rPr>
          <w:rFonts w:ascii="宋体" w:hAnsi="宋体" w:eastAsia="宋体"/>
          <w:sz w:val="24"/>
          <w:szCs w:val="24"/>
          <w:highlight w:val="none"/>
        </w:rPr>
        <w:t>审查详见第四章“评审标准及方法”。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24.评审方法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24.1 最低评审价法。最低评审价法是指竞争性磋商响应文件满足竞争性磋商文件全部实质性要求，且磋商报价最低的供应商为成交候选供应商的评审方法。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24.2 综合评分法。综合评分法是指竞争性磋商响应文件满足竞争性磋商文件全部实质性要求，且按照评审因素的量化指标评审得分最高的供应商为成交候选供应商的评审方法。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24.3 评审方法详见第</w:t>
      </w:r>
      <w:r>
        <w:rPr>
          <w:rFonts w:hint="eastAsia" w:ascii="宋体" w:hAnsi="宋体" w:eastAsia="宋体"/>
          <w:sz w:val="24"/>
          <w:szCs w:val="24"/>
          <w:highlight w:val="none"/>
        </w:rPr>
        <w:t>四</w:t>
      </w:r>
      <w:r>
        <w:rPr>
          <w:rFonts w:ascii="宋体" w:hAnsi="宋体" w:eastAsia="宋体"/>
          <w:sz w:val="24"/>
          <w:szCs w:val="24"/>
          <w:highlight w:val="none"/>
        </w:rPr>
        <w:t>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25.磋商小组的组建及要求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 xml:space="preserve">25.1 </w:t>
      </w:r>
      <w:r>
        <w:rPr>
          <w:rFonts w:hint="eastAsia" w:ascii="宋体" w:hAnsi="宋体" w:eastAsia="宋体"/>
          <w:sz w:val="24"/>
          <w:szCs w:val="24"/>
          <w:highlight w:val="none"/>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r>
        <w:rPr>
          <w:rFonts w:ascii="宋体" w:hAnsi="宋体" w:eastAsia="宋体"/>
          <w:sz w:val="24"/>
          <w:szCs w:val="24"/>
          <w:highlight w:val="none"/>
        </w:rPr>
        <w:t>具体磋商小组的组建详见</w:t>
      </w:r>
      <w:r>
        <w:rPr>
          <w:rFonts w:hint="eastAsia" w:ascii="宋体" w:hAnsi="宋体" w:eastAsia="宋体"/>
          <w:sz w:val="24"/>
          <w:szCs w:val="24"/>
          <w:highlight w:val="none"/>
        </w:rPr>
        <w:t>供应商</w:t>
      </w:r>
      <w:r>
        <w:rPr>
          <w:rFonts w:ascii="宋体" w:hAnsi="宋体" w:eastAsia="宋体"/>
          <w:sz w:val="24"/>
          <w:szCs w:val="24"/>
          <w:highlight w:val="none"/>
        </w:rPr>
        <w:t>须知前附表。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25.2 磋商小组成员依法从政府采购专家库中随机抽取。对技术复杂、专业性强的采购项目，通过随机方式难以确定合适评审专家的，经主管预算单位同意，采购人可以自行选定相应专业领域的评审专家。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25.3 磋商小组成员有下列情形之一的，应当主动申请回避，由</w:t>
      </w:r>
      <w:r>
        <w:rPr>
          <w:rFonts w:hint="eastAsia" w:ascii="宋体" w:hAnsi="宋体" w:eastAsia="宋体"/>
          <w:sz w:val="24"/>
          <w:szCs w:val="24"/>
          <w:highlight w:val="none"/>
        </w:rPr>
        <w:t>采购人及</w:t>
      </w:r>
      <w:r>
        <w:rPr>
          <w:rFonts w:ascii="宋体" w:hAnsi="宋体" w:eastAsia="宋体"/>
          <w:sz w:val="24"/>
          <w:szCs w:val="24"/>
          <w:highlight w:val="none"/>
        </w:rPr>
        <w:t>代理机构组织补抽评委：</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25.3.1 参加采购活动前3年内与供应商存在劳动关系；</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25.3.2 参加采购活动前3年内担任供应商的董事、监事；</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25.3.3 参加采购活动前3年内是供应商的控股股东或者实际控制人；</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25.3.4 与供应商的法定代表人或者负责人有夫妻、直系血亲、三代以内旁系血亲或者近姻亲关系；</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25.3.5 与供应商有其他可能影响政府采购活动公平、公正进行的关系。</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26.评审程序</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26.1 磋商小组负责具体评审事务，并独立履行下列职责：</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26.1.1 审查、评价竞争性磋商响应文件是否符合竞争性磋商文件的商务、技术等实质性要求；</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26.1.2 要求供应商对竞争性磋商响应文件有关事项作出澄清或者说明；</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26.1.3 对竞争性磋商响应文件进行综合比较和评价；</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26.1.4 确定成交候选供应商名单，或成交供应商（如有授权）；</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26.1.5 向采购人、代理机构或者有关部门报告评审中发现的违法行为。</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26.2 具体评审程序详见第四章“评审标准及方法”。</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27.磋商小组注意事项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27.1 磋商小组成员在评审过程对需要共同认定的事项存在争议的，应当按照少数服从多数的原则作出结论。持不同意见的磋商小组成员应当在评审报告上签署不同意见及理由，否则视为同意评审报告。</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27.2 磋商小组及其成员不得有下列行为：</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27.2.1 确定参与评审至评审结束前私自接触供应商；</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27.2.2 接受供应商提出的与竞争性磋商响应文件不一致的澄清或者说明，下列规定的情形除外（对于竞争性磋商响应文件中含义不明确、同类问题表述不一致或者有明显文字和计算错误的内容，磋商小组应当以书面形式要求供应商作出必要的澄清、说明或者补正。供应商的澄清、说明或者补正应当采用书面形式，并加盖公章，或者由法定代表人或其授权的代表签字。供应商的澄清、说明或者补正不得超出竞争性磋商响应文件的范围或者改变竞争性磋商响应文件的实质性内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27.2.3 违反评审纪律发表倾向性意见或者征询采购人的倾向性意见；</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27.2.4 对需要专业判断的主观评审因素协商评分；</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27.2.5 在评审过程中擅离职守，影响评审程序正常进行的；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27.2.6 记录、复制或者带走任何评审资料；</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27.2.7 其他不遵守评审纪律的行为。</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27.3 磋商小组成员有前款第一至五项行为之一的，其评审意见无效，并不得获取评审劳务报酬和报销异地评审差旅费。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27.4 评审结果汇总完成后，除下列情形外，任何人不得修改评审结果：</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27.4.1 分值汇总计算错误的；</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27.4.2 分项评分超出评分标准范围的；</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27.4.3 磋商小组成员对客观评审因素评分不一致的；</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27.4.4 经磋商小组认定评分畸高、畸低的。</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27.5 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财政部门。</w:t>
      </w:r>
    </w:p>
    <w:bookmarkEnd w:id="38"/>
    <w:p>
      <w:pPr>
        <w:pStyle w:val="4"/>
        <w:jc w:val="center"/>
        <w:rPr>
          <w:sz w:val="32"/>
          <w:highlight w:val="none"/>
        </w:rPr>
      </w:pPr>
      <w:bookmarkStart w:id="41" w:name="_Toc65158785"/>
      <w:r>
        <w:rPr>
          <w:rFonts w:hint="eastAsia"/>
          <w:sz w:val="32"/>
          <w:highlight w:val="none"/>
        </w:rPr>
        <w:t>信用及查询</w:t>
      </w:r>
      <w:bookmarkEnd w:id="41"/>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28.信用查询渠道</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28.1 按照《关于在政府采购活动中查询及使用信用记录有关问题的通知》的要求，参与政府采购的供应商，信用记录的查询渠道为“信用中国”网站（https://www.creditchina.gov.cn/）和</w:t>
      </w:r>
      <w:r>
        <w:rPr>
          <w:rFonts w:hint="eastAsia" w:ascii="宋体" w:hAnsi="宋体" w:eastAsia="宋体"/>
          <w:sz w:val="24"/>
          <w:szCs w:val="24"/>
          <w:highlight w:val="none"/>
        </w:rPr>
        <w:t>“</w:t>
      </w:r>
      <w:r>
        <w:rPr>
          <w:rFonts w:ascii="宋体" w:hAnsi="宋体" w:eastAsia="宋体"/>
          <w:sz w:val="24"/>
          <w:szCs w:val="24"/>
          <w:highlight w:val="none"/>
        </w:rPr>
        <w:t>中国政府采购网</w:t>
      </w:r>
      <w:r>
        <w:rPr>
          <w:rFonts w:hint="eastAsia" w:ascii="宋体" w:hAnsi="宋体" w:eastAsia="宋体"/>
          <w:sz w:val="24"/>
          <w:szCs w:val="24"/>
          <w:highlight w:val="none"/>
        </w:rPr>
        <w:t>”网站</w:t>
      </w:r>
      <w:r>
        <w:rPr>
          <w:rFonts w:ascii="宋体" w:hAnsi="宋体" w:eastAsia="宋体"/>
          <w:sz w:val="24"/>
          <w:szCs w:val="24"/>
          <w:highlight w:val="none"/>
        </w:rPr>
        <w:t>（http://www.ccgp.gov.cn/）。</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28.2 “信用中国”网站（https://www.creditchina.gov.cn/）</w:t>
      </w:r>
      <w:r>
        <w:rPr>
          <w:rFonts w:hint="eastAsia" w:ascii="宋体" w:hAnsi="宋体" w:eastAsia="宋体"/>
          <w:sz w:val="24"/>
          <w:szCs w:val="24"/>
          <w:highlight w:val="none"/>
        </w:rPr>
        <w:t>查询</w:t>
      </w:r>
      <w:r>
        <w:rPr>
          <w:rFonts w:ascii="宋体" w:hAnsi="宋体" w:eastAsia="宋体"/>
          <w:sz w:val="24"/>
          <w:szCs w:val="24"/>
          <w:highlight w:val="none"/>
        </w:rPr>
        <w:t>列入失信被执行人、重大税收违法案件当事人名单，</w:t>
      </w:r>
      <w:r>
        <w:rPr>
          <w:rFonts w:hint="eastAsia" w:ascii="宋体" w:hAnsi="宋体" w:eastAsia="宋体"/>
          <w:sz w:val="24"/>
          <w:szCs w:val="24"/>
          <w:highlight w:val="none"/>
        </w:rPr>
        <w:t>“</w:t>
      </w:r>
      <w:r>
        <w:rPr>
          <w:rFonts w:ascii="宋体" w:hAnsi="宋体" w:eastAsia="宋体"/>
          <w:sz w:val="24"/>
          <w:szCs w:val="24"/>
          <w:highlight w:val="none"/>
        </w:rPr>
        <w:t>中国政府采购网</w:t>
      </w:r>
      <w:r>
        <w:rPr>
          <w:rFonts w:hint="eastAsia" w:ascii="宋体" w:hAnsi="宋体" w:eastAsia="宋体"/>
          <w:sz w:val="24"/>
          <w:szCs w:val="24"/>
          <w:highlight w:val="none"/>
        </w:rPr>
        <w:t>”网站</w:t>
      </w:r>
      <w:r>
        <w:rPr>
          <w:rFonts w:ascii="宋体" w:hAnsi="宋体" w:eastAsia="宋体"/>
          <w:sz w:val="24"/>
          <w:szCs w:val="24"/>
          <w:highlight w:val="none"/>
        </w:rPr>
        <w:t>（http://www.ccgp.gov.cn/）</w:t>
      </w:r>
      <w:r>
        <w:rPr>
          <w:rFonts w:hint="eastAsia" w:ascii="宋体" w:hAnsi="宋体" w:eastAsia="宋体"/>
          <w:sz w:val="24"/>
          <w:szCs w:val="24"/>
          <w:highlight w:val="none"/>
        </w:rPr>
        <w:t>查询列入</w:t>
      </w:r>
      <w:r>
        <w:rPr>
          <w:rFonts w:ascii="宋体" w:hAnsi="宋体" w:eastAsia="宋体"/>
          <w:sz w:val="24"/>
          <w:szCs w:val="24"/>
          <w:highlight w:val="none"/>
        </w:rPr>
        <w:t>政府采购严重违法失信行为记录名单</w:t>
      </w:r>
      <w:r>
        <w:rPr>
          <w:rFonts w:hint="eastAsia" w:ascii="宋体" w:hAnsi="宋体" w:eastAsia="宋体"/>
          <w:sz w:val="24"/>
          <w:szCs w:val="24"/>
          <w:highlight w:val="none"/>
        </w:rPr>
        <w:t>的，</w:t>
      </w:r>
      <w:r>
        <w:rPr>
          <w:rFonts w:ascii="宋体" w:hAnsi="宋体" w:eastAsia="宋体"/>
          <w:sz w:val="24"/>
          <w:szCs w:val="24"/>
          <w:highlight w:val="none"/>
        </w:rPr>
        <w:t>代理机构</w:t>
      </w:r>
      <w:r>
        <w:rPr>
          <w:rFonts w:hint="eastAsia" w:ascii="宋体" w:hAnsi="宋体" w:eastAsia="宋体"/>
          <w:sz w:val="24"/>
          <w:szCs w:val="24"/>
          <w:highlight w:val="none"/>
        </w:rPr>
        <w:t>及采购人将</w:t>
      </w:r>
      <w:r>
        <w:rPr>
          <w:rFonts w:ascii="宋体" w:hAnsi="宋体" w:eastAsia="宋体"/>
          <w:sz w:val="24"/>
          <w:szCs w:val="24"/>
          <w:highlight w:val="none"/>
        </w:rPr>
        <w:t>拒绝其参与政府采购活动。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28.3 两个及以上自然人、法人或者其他组织组成联合体，以一个供应商的身份共同参加政府采购活动的，应当对所有联合体成员进行信用记录查询，联合体成员存在不良信用记录的，视同联合体存在不良信用信息。</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29.信用使用规则</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29.1 供应商的信用记录，最终以评审时的“信用中国”网站和“中国政府采购网”发布的信息为准。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29.2 采购人和代理机构工作人员应对供应商的信用信息进行复核，发现供应商存在不良信用信息的，其</w:t>
      </w:r>
      <w:r>
        <w:rPr>
          <w:rFonts w:hint="eastAsia" w:ascii="宋体" w:hAnsi="宋体" w:eastAsia="宋体"/>
          <w:sz w:val="24"/>
          <w:szCs w:val="24"/>
          <w:highlight w:val="none"/>
        </w:rPr>
        <w:t>响应文件</w:t>
      </w:r>
      <w:r>
        <w:rPr>
          <w:rFonts w:ascii="宋体" w:hAnsi="宋体" w:eastAsia="宋体"/>
          <w:sz w:val="24"/>
          <w:szCs w:val="24"/>
          <w:highlight w:val="none"/>
        </w:rPr>
        <w:t>作无效响应处理。</w:t>
      </w:r>
    </w:p>
    <w:p>
      <w:pPr>
        <w:pStyle w:val="4"/>
        <w:jc w:val="center"/>
        <w:rPr>
          <w:sz w:val="32"/>
          <w:highlight w:val="none"/>
        </w:rPr>
      </w:pPr>
      <w:bookmarkStart w:id="42" w:name="_Toc65158786"/>
      <w:bookmarkStart w:id="43" w:name="_Hlk64705694"/>
      <w:r>
        <w:rPr>
          <w:rFonts w:hint="eastAsia"/>
          <w:sz w:val="32"/>
          <w:highlight w:val="none"/>
        </w:rPr>
        <w:t>成交与合同</w:t>
      </w:r>
      <w:bookmarkEnd w:id="42"/>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30.确定成交供应商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30.1 采购人须在收到评审报告5个工作日内，按评审报告推荐的成交候选供应商顺序确定成交供应商。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30.2 成交候选供应商并列的：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30.2.1 采用最低评审价法的，评审结果按磋商报价由低到高顺序排列。磋商报价相同的</w:t>
      </w:r>
      <w:r>
        <w:rPr>
          <w:rFonts w:hint="eastAsia" w:ascii="宋体" w:hAnsi="宋体" w:eastAsia="宋体"/>
          <w:sz w:val="24"/>
          <w:szCs w:val="24"/>
          <w:highlight w:val="none"/>
        </w:rPr>
        <w:t>，按照技术指标优劣顺序推荐。</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30.2.2 采用综合评分法的，评审结果按评审后得分由高到低顺序排列。</w:t>
      </w:r>
      <w:r>
        <w:rPr>
          <w:rFonts w:hint="eastAsia" w:ascii="宋体" w:hAnsi="宋体" w:eastAsia="宋体"/>
          <w:sz w:val="24"/>
          <w:szCs w:val="24"/>
          <w:highlight w:val="none"/>
        </w:rPr>
        <w:t>评审得分相同的，按照最后报价由低到高的顺序推荐。评审得分且最后报价相同的，按照技术指标优劣顺序推荐。</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30.3 成交供应商确定后，代理机构在政府采购监管部门及采购人指定的媒体上发布</w:t>
      </w:r>
      <w:r>
        <w:rPr>
          <w:rFonts w:hint="eastAsia" w:ascii="宋体" w:hAnsi="宋体" w:eastAsia="宋体"/>
          <w:sz w:val="24"/>
          <w:szCs w:val="24"/>
          <w:highlight w:val="none"/>
        </w:rPr>
        <w:t>成交结果</w:t>
      </w:r>
      <w:r>
        <w:rPr>
          <w:rFonts w:ascii="宋体" w:hAnsi="宋体" w:eastAsia="宋体"/>
          <w:sz w:val="24"/>
          <w:szCs w:val="24"/>
          <w:highlight w:val="none"/>
        </w:rPr>
        <w:t>公告，同时向成交供应商和采购人发出《成交通知书》。《成交通知书》是政府采购合同的组成部分,对成交供应商和采购人具有同等法律效力。</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30.4 成交通知书发出后，成交供应商无正当理由不得放弃成交。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30.5 成交供应商拒绝与采购人签订合同的，采购人可以按照评审报告推荐的成交候选供应商名单排序，确定下一候选人为成交供应商，也可以重新开展政府采购活动。</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31.合同授予及签订</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31.1 除本章“确定成交供应商”规定及其他法律规定的情形外，采购人把合同授予被确定为实质上响应竞争性磋商文件要求且排名第一的成交供应商。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31.2 采购人应当自成交通知书发出之日起30日内，按照竞争性磋商文件规定和成交供应商竞争性磋商响应文件的承诺，与成交供应商签订书面合同。所签订的合同不得对竞争性磋商文件确定的事项和成交供应商竞争性磋商响应文件作实质性修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31.3 采购人不得向成交供应商提出任何不合理的要求作为签订合同的条件。</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31.4 政府采购合同应当包括采购人与成交供应商的名称和住所、标的、数量、质量、价款、履行期限及地点和方式、验收要求、违约责任、解决争议的方法等内容。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31.5 采购人与成交供应商应当根据合同的约定依法履行合同义务。政府采购合同的履行、违约责任和解决争议的方法等适用《中华人民共和国合同法》。</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31.6 采购人应当加强对政府采购合同以及成交供应商的履约管理。并按照采购合同约定，及时向成交供应商支付采购资金。对于成交供应商违反采购合同约定的行为，采购人应当及时处理，依法追究其违约责任。</w:t>
      </w:r>
    </w:p>
    <w:bookmarkEnd w:id="43"/>
    <w:p>
      <w:pPr>
        <w:pStyle w:val="4"/>
        <w:jc w:val="center"/>
        <w:rPr>
          <w:sz w:val="32"/>
          <w:highlight w:val="none"/>
        </w:rPr>
      </w:pPr>
      <w:bookmarkStart w:id="44" w:name="_Toc65158787"/>
      <w:r>
        <w:rPr>
          <w:rFonts w:hint="eastAsia"/>
          <w:sz w:val="32"/>
          <w:highlight w:val="none"/>
        </w:rPr>
        <w:t>公告与媒体</w:t>
      </w:r>
      <w:bookmarkEnd w:id="44"/>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32.公告媒体</w:t>
      </w:r>
    </w:p>
    <w:p>
      <w:pPr>
        <w:adjustRightInd w:val="0"/>
        <w:snapToGrid w:val="0"/>
        <w:spacing w:line="360" w:lineRule="auto"/>
        <w:ind w:firstLine="360" w:firstLineChars="150"/>
        <w:rPr>
          <w:rFonts w:ascii="宋体" w:hAnsi="宋体" w:eastAsia="宋体"/>
          <w:sz w:val="24"/>
          <w:szCs w:val="24"/>
          <w:highlight w:val="none"/>
        </w:rPr>
      </w:pPr>
      <w:r>
        <w:rPr>
          <w:rFonts w:hint="eastAsia" w:ascii="宋体" w:hAnsi="宋体" w:eastAsia="宋体"/>
          <w:sz w:val="24"/>
          <w:szCs w:val="24"/>
          <w:highlight w:val="none"/>
        </w:rPr>
        <w:t>代理机构在采购活动中的公告、补充、更正、结果等采购信息均依法在政府采购监管部门指定媒体以及采购人指定的媒体上发布，具体媒体详见竞争性磋商公告上指定的公告媒体。</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33.公告规定</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33.1 代理机构在自成交供应商确定之日起2个工作日内，在政府采购监管部门指定媒体上公告</w:t>
      </w:r>
      <w:r>
        <w:rPr>
          <w:rFonts w:hint="eastAsia" w:ascii="宋体" w:hAnsi="宋体" w:eastAsia="宋体"/>
          <w:sz w:val="24"/>
          <w:szCs w:val="24"/>
          <w:highlight w:val="none"/>
        </w:rPr>
        <w:t>成交</w:t>
      </w:r>
      <w:r>
        <w:rPr>
          <w:rFonts w:ascii="宋体" w:hAnsi="宋体" w:eastAsia="宋体"/>
          <w:sz w:val="24"/>
          <w:szCs w:val="24"/>
          <w:highlight w:val="none"/>
        </w:rPr>
        <w:t>结果，</w:t>
      </w:r>
      <w:r>
        <w:rPr>
          <w:rFonts w:hint="eastAsia" w:ascii="宋体" w:hAnsi="宋体" w:eastAsia="宋体"/>
          <w:sz w:val="24"/>
          <w:szCs w:val="24"/>
          <w:highlight w:val="none"/>
        </w:rPr>
        <w:t>成交结果</w:t>
      </w:r>
      <w:r>
        <w:rPr>
          <w:rFonts w:ascii="宋体" w:hAnsi="宋体" w:eastAsia="宋体"/>
          <w:sz w:val="24"/>
          <w:szCs w:val="24"/>
          <w:highlight w:val="none"/>
        </w:rPr>
        <w:t>公告的公示期为1个工作日。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33.2 资格审查未通过的供应商可在结果公告质疑有效期内按公告中的联系方式获知本单位的资格审查情况。</w:t>
      </w:r>
    </w:p>
    <w:p>
      <w:pPr>
        <w:pStyle w:val="4"/>
        <w:jc w:val="center"/>
        <w:rPr>
          <w:sz w:val="32"/>
          <w:highlight w:val="none"/>
        </w:rPr>
      </w:pPr>
      <w:bookmarkStart w:id="45" w:name="_Toc65158788"/>
      <w:r>
        <w:rPr>
          <w:rFonts w:hint="eastAsia"/>
          <w:sz w:val="32"/>
          <w:highlight w:val="none"/>
        </w:rPr>
        <w:t>质疑及投诉</w:t>
      </w:r>
      <w:bookmarkEnd w:id="45"/>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34.质疑提交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34.1 供应商认为竞争性磋商文件、</w:t>
      </w:r>
      <w:r>
        <w:rPr>
          <w:rFonts w:hint="eastAsia" w:ascii="宋体" w:hAnsi="宋体" w:eastAsia="宋体"/>
          <w:sz w:val="24"/>
          <w:szCs w:val="24"/>
          <w:highlight w:val="none"/>
        </w:rPr>
        <w:t>采购</w:t>
      </w:r>
      <w:r>
        <w:rPr>
          <w:rFonts w:ascii="宋体" w:hAnsi="宋体" w:eastAsia="宋体"/>
          <w:sz w:val="24"/>
          <w:szCs w:val="24"/>
          <w:highlight w:val="none"/>
        </w:rPr>
        <w:t>过程和成交结果使自己的权益受到损害的，可以在知道或者应知其权益受到损害之日起7个工作日内，可依据《中华人民共和国政府采购法》、《政府采购质疑和投诉办法(财政部94号令)》等相关规定，向代理机构提出质疑。</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34.2 质疑书应当包括下列主要内容：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34.2.1</w:t>
      </w:r>
      <w:r>
        <w:rPr>
          <w:rFonts w:hint="eastAsia" w:ascii="宋体" w:hAnsi="宋体" w:eastAsia="宋体"/>
          <w:sz w:val="24"/>
          <w:szCs w:val="24"/>
          <w:highlight w:val="none"/>
        </w:rPr>
        <w:t xml:space="preserve"> </w:t>
      </w:r>
      <w:r>
        <w:rPr>
          <w:rFonts w:ascii="宋体" w:hAnsi="宋体" w:eastAsia="宋体"/>
          <w:sz w:val="24"/>
          <w:szCs w:val="24"/>
          <w:highlight w:val="none"/>
        </w:rPr>
        <w:t>质疑人的名称、地址、联系人及联系电话等；</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34.2.2</w:t>
      </w:r>
      <w:r>
        <w:rPr>
          <w:rFonts w:hint="eastAsia" w:ascii="宋体" w:hAnsi="宋体" w:eastAsia="宋体"/>
          <w:sz w:val="24"/>
          <w:szCs w:val="24"/>
          <w:highlight w:val="none"/>
        </w:rPr>
        <w:t xml:space="preserve"> </w:t>
      </w:r>
      <w:r>
        <w:rPr>
          <w:rFonts w:ascii="宋体" w:hAnsi="宋体" w:eastAsia="宋体"/>
          <w:sz w:val="24"/>
          <w:szCs w:val="24"/>
          <w:highlight w:val="none"/>
        </w:rPr>
        <w:t>被质疑人的名称、地址、联系人及联系电话等；</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34.2.3</w:t>
      </w:r>
      <w:r>
        <w:rPr>
          <w:rFonts w:hint="eastAsia" w:ascii="宋体" w:hAnsi="宋体" w:eastAsia="宋体"/>
          <w:sz w:val="24"/>
          <w:szCs w:val="24"/>
          <w:highlight w:val="none"/>
        </w:rPr>
        <w:t xml:space="preserve"> </w:t>
      </w:r>
      <w:r>
        <w:rPr>
          <w:rFonts w:ascii="宋体" w:hAnsi="宋体" w:eastAsia="宋体"/>
          <w:sz w:val="24"/>
          <w:szCs w:val="24"/>
          <w:highlight w:val="none"/>
        </w:rPr>
        <w:t>质疑项目名称及编号、质疑事项和明确的请求；</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34.2.4</w:t>
      </w:r>
      <w:r>
        <w:rPr>
          <w:rFonts w:hint="eastAsia" w:ascii="宋体" w:hAnsi="宋体" w:eastAsia="宋体"/>
          <w:sz w:val="24"/>
          <w:szCs w:val="24"/>
          <w:highlight w:val="none"/>
        </w:rPr>
        <w:t xml:space="preserve"> </w:t>
      </w:r>
      <w:r>
        <w:rPr>
          <w:rFonts w:ascii="宋体" w:hAnsi="宋体" w:eastAsia="宋体"/>
          <w:sz w:val="24"/>
          <w:szCs w:val="24"/>
          <w:highlight w:val="none"/>
        </w:rPr>
        <w:t>质疑事项的事实根据、法律依据及其他必要的证明材料；</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34.2.5</w:t>
      </w:r>
      <w:r>
        <w:rPr>
          <w:rFonts w:hint="eastAsia" w:ascii="宋体" w:hAnsi="宋体" w:eastAsia="宋体"/>
          <w:sz w:val="24"/>
          <w:szCs w:val="24"/>
          <w:highlight w:val="none"/>
        </w:rPr>
        <w:t xml:space="preserve"> </w:t>
      </w:r>
      <w:r>
        <w:rPr>
          <w:rFonts w:ascii="宋体" w:hAnsi="宋体" w:eastAsia="宋体"/>
          <w:sz w:val="24"/>
          <w:szCs w:val="24"/>
          <w:highlight w:val="none"/>
        </w:rPr>
        <w:t>提出质疑的日期；</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34.2.6</w:t>
      </w:r>
      <w:r>
        <w:rPr>
          <w:rFonts w:hint="eastAsia" w:ascii="宋体" w:hAnsi="宋体" w:eastAsia="宋体"/>
          <w:sz w:val="24"/>
          <w:szCs w:val="24"/>
          <w:highlight w:val="none"/>
        </w:rPr>
        <w:t xml:space="preserve"> </w:t>
      </w:r>
      <w:r>
        <w:rPr>
          <w:rFonts w:ascii="宋体" w:hAnsi="宋体" w:eastAsia="宋体"/>
          <w:sz w:val="24"/>
          <w:szCs w:val="24"/>
          <w:highlight w:val="none"/>
        </w:rPr>
        <w:t>质疑人的署名及签章（质疑人为自然人的，应当由本人签字；质疑人为法人或者其他组织的，应当由法定代表人或者主要负责人签字盖章并加盖公章）；</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34.2.7</w:t>
      </w:r>
      <w:r>
        <w:rPr>
          <w:rFonts w:hint="eastAsia" w:ascii="宋体" w:hAnsi="宋体" w:eastAsia="宋体"/>
          <w:sz w:val="24"/>
          <w:szCs w:val="24"/>
          <w:highlight w:val="none"/>
        </w:rPr>
        <w:t xml:space="preserve"> </w:t>
      </w:r>
      <w:r>
        <w:rPr>
          <w:rFonts w:ascii="宋体" w:hAnsi="宋体" w:eastAsia="宋体"/>
          <w:sz w:val="24"/>
          <w:szCs w:val="24"/>
          <w:highlight w:val="none"/>
        </w:rPr>
        <w:t>法人授权委托书（质疑人或法人委托代理人办理质疑事务的，应当提供法定代表人授权委托书，授权委托书应当载明委托代理的具体权限和事项）。</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34.3 公告期内如有质疑，代理机构将依法给与答复，并以书面（或网上公告）的形式将结果告知所有当事人。</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35.时限定义</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35.1 对可以质疑的竞争性磋商文件提出质疑的，为收到竞争性磋商文件之日或者竞争性磋商文件公告期限届满之日；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35.2 对</w:t>
      </w:r>
      <w:r>
        <w:rPr>
          <w:rFonts w:hint="eastAsia" w:ascii="宋体" w:hAnsi="宋体" w:eastAsia="宋体"/>
          <w:sz w:val="24"/>
          <w:szCs w:val="24"/>
          <w:highlight w:val="none"/>
        </w:rPr>
        <w:t>采购</w:t>
      </w:r>
      <w:r>
        <w:rPr>
          <w:rFonts w:ascii="宋体" w:hAnsi="宋体" w:eastAsia="宋体"/>
          <w:sz w:val="24"/>
          <w:szCs w:val="24"/>
          <w:highlight w:val="none"/>
        </w:rPr>
        <w:t>过程提出质疑的，为各</w:t>
      </w:r>
      <w:r>
        <w:rPr>
          <w:rFonts w:hint="eastAsia" w:ascii="宋体" w:hAnsi="宋体" w:eastAsia="宋体"/>
          <w:sz w:val="24"/>
          <w:szCs w:val="24"/>
          <w:highlight w:val="none"/>
        </w:rPr>
        <w:t>采购</w:t>
      </w:r>
      <w:r>
        <w:rPr>
          <w:rFonts w:ascii="宋体" w:hAnsi="宋体" w:eastAsia="宋体"/>
          <w:sz w:val="24"/>
          <w:szCs w:val="24"/>
          <w:highlight w:val="none"/>
        </w:rPr>
        <w:t>程序环节结束之日；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35.3 对成交结果提出质疑的，为成交公告期限届满之日。</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36.不予受理情形</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36.1 供应商未按本章“质疑及投诉”规定的时限、内容及方式进行质疑的，代理机构不予受理。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36.2 有下列情况之一的，属于无效质疑，采购人或代理机构不予受理：</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36.2.1 未在有效期限内提出质疑的；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36.2.2 质疑函未以书面形式提出的；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36.2.3 所提交的材料未明示属于质疑材料的；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36.2.4 质疑函没有法定代表人签字和加盖公章的，委托代理人提出质疑的没有法定代表人及委托代理人签字的和加盖公章的；质疑函没有由参加采购项目的委托代理人的姓名和联系方式的；没有法定代表人特别授权的；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36.2.5 质疑事项已经进入投诉或者行政复议或者诉讼程序的；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36.2.6 质疑函没附有相关证明材料的，被视为无效证据支持的；</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36.2.7 供应商对竞争性磋商文件条例 技术商务 参数要求有异议，未在递交文件截止时间前通过澄清修改程序提出；</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36.2.8 其他不符合受理条件的情况。</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37.</w:t>
      </w:r>
      <w:r>
        <w:rPr>
          <w:rFonts w:hint="eastAsia" w:ascii="宋体" w:hAnsi="宋体" w:eastAsia="宋体"/>
          <w:sz w:val="24"/>
          <w:szCs w:val="24"/>
          <w:highlight w:val="none"/>
        </w:rPr>
        <w:t>质疑回复</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37.1 采购人或采购代理机构应在收到供应商的书面质疑后7个工作日内作出答复，并以书面形式通知质疑供应商和其他有关供应商，但答复内容不得涉及商业秘密。</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37.2 质疑答复应当包括下列内容：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37.2.1</w:t>
      </w:r>
      <w:r>
        <w:rPr>
          <w:rFonts w:hint="eastAsia" w:ascii="宋体" w:hAnsi="宋体" w:eastAsia="宋体"/>
          <w:sz w:val="24"/>
          <w:szCs w:val="24"/>
          <w:highlight w:val="none"/>
        </w:rPr>
        <w:t xml:space="preserve"> </w:t>
      </w:r>
      <w:r>
        <w:rPr>
          <w:rFonts w:ascii="宋体" w:hAnsi="宋体" w:eastAsia="宋体"/>
          <w:sz w:val="24"/>
          <w:szCs w:val="24"/>
          <w:highlight w:val="none"/>
        </w:rPr>
        <w:t>质疑人的名称、地址、联系人及联系电话；</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37.2.2</w:t>
      </w:r>
      <w:r>
        <w:rPr>
          <w:rFonts w:hint="eastAsia" w:ascii="宋体" w:hAnsi="宋体" w:eastAsia="宋体"/>
          <w:sz w:val="24"/>
          <w:szCs w:val="24"/>
          <w:highlight w:val="none"/>
        </w:rPr>
        <w:t xml:space="preserve"> </w:t>
      </w:r>
      <w:r>
        <w:rPr>
          <w:rFonts w:ascii="宋体" w:hAnsi="宋体" w:eastAsia="宋体"/>
          <w:sz w:val="24"/>
          <w:szCs w:val="24"/>
          <w:highlight w:val="none"/>
        </w:rPr>
        <w:t>采购人或采购代理机构的名称、地址、联系人及联系电话；</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37.2.3</w:t>
      </w:r>
      <w:r>
        <w:rPr>
          <w:rFonts w:hint="eastAsia" w:ascii="宋体" w:hAnsi="宋体" w:eastAsia="宋体"/>
          <w:sz w:val="24"/>
          <w:szCs w:val="24"/>
          <w:highlight w:val="none"/>
        </w:rPr>
        <w:t xml:space="preserve"> </w:t>
      </w:r>
      <w:r>
        <w:rPr>
          <w:rFonts w:ascii="宋体" w:hAnsi="宋体" w:eastAsia="宋体"/>
          <w:sz w:val="24"/>
          <w:szCs w:val="24"/>
          <w:highlight w:val="none"/>
        </w:rPr>
        <w:t>受理质疑的日期、质疑项目名称及编号、质疑事项；</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37.2.4</w:t>
      </w:r>
      <w:r>
        <w:rPr>
          <w:rFonts w:hint="eastAsia" w:ascii="宋体" w:hAnsi="宋体" w:eastAsia="宋体"/>
          <w:sz w:val="24"/>
          <w:szCs w:val="24"/>
          <w:highlight w:val="none"/>
        </w:rPr>
        <w:t xml:space="preserve"> </w:t>
      </w:r>
      <w:r>
        <w:rPr>
          <w:rFonts w:ascii="宋体" w:hAnsi="宋体" w:eastAsia="宋体"/>
          <w:sz w:val="24"/>
          <w:szCs w:val="24"/>
          <w:highlight w:val="none"/>
        </w:rPr>
        <w:t>质疑事项答复的具体情况及事实根据、法律依据；</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37.2.5</w:t>
      </w:r>
      <w:r>
        <w:rPr>
          <w:rFonts w:hint="eastAsia" w:ascii="宋体" w:hAnsi="宋体" w:eastAsia="宋体"/>
          <w:sz w:val="24"/>
          <w:szCs w:val="24"/>
          <w:highlight w:val="none"/>
        </w:rPr>
        <w:t xml:space="preserve"> </w:t>
      </w:r>
      <w:r>
        <w:rPr>
          <w:rFonts w:ascii="宋体" w:hAnsi="宋体" w:eastAsia="宋体"/>
          <w:sz w:val="24"/>
          <w:szCs w:val="24"/>
          <w:highlight w:val="none"/>
        </w:rPr>
        <w:t>告知质疑人依法投诉的权利和投诉方式；</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37.2.6</w:t>
      </w:r>
      <w:r>
        <w:rPr>
          <w:rFonts w:hint="eastAsia" w:ascii="宋体" w:hAnsi="宋体" w:eastAsia="宋体"/>
          <w:sz w:val="24"/>
          <w:szCs w:val="24"/>
          <w:highlight w:val="none"/>
        </w:rPr>
        <w:t xml:space="preserve"> </w:t>
      </w:r>
      <w:r>
        <w:rPr>
          <w:rFonts w:ascii="宋体" w:hAnsi="宋体" w:eastAsia="宋体"/>
          <w:sz w:val="24"/>
          <w:szCs w:val="24"/>
          <w:highlight w:val="none"/>
        </w:rPr>
        <w:t>质疑答复日期。</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38.投诉</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38.1 质疑供应商对采购人、采购代理机构的答复不满意或者采购人、采购代理机构未在规定的时间内作出答复的，可以在答复期满后15个工作日内向同级政府采购监督管理部门投诉。供应商投诉应当有明确的请求和必要的证明材料，且投诉的事项不得超出已质疑事项的范围。</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38.2 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p>
      <w:pPr>
        <w:pStyle w:val="4"/>
        <w:jc w:val="center"/>
        <w:rPr>
          <w:sz w:val="32"/>
          <w:highlight w:val="none"/>
        </w:rPr>
      </w:pPr>
      <w:bookmarkStart w:id="46" w:name="_Toc65158789"/>
      <w:r>
        <w:rPr>
          <w:sz w:val="32"/>
          <w:highlight w:val="none"/>
        </w:rPr>
        <w:t>无效</w:t>
      </w:r>
      <w:r>
        <w:rPr>
          <w:rFonts w:hint="eastAsia"/>
          <w:sz w:val="32"/>
          <w:highlight w:val="none"/>
        </w:rPr>
        <w:t>与终止</w:t>
      </w:r>
      <w:bookmarkEnd w:id="46"/>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39.</w:t>
      </w:r>
      <w:r>
        <w:rPr>
          <w:rFonts w:hint="eastAsia" w:ascii="宋体" w:hAnsi="宋体" w:eastAsia="宋体"/>
          <w:sz w:val="24"/>
          <w:szCs w:val="24"/>
          <w:highlight w:val="none"/>
        </w:rPr>
        <w:t>无效响应指的是供应商递交的竞争性磋商响应文件未通过资格性审查及符合性审查的情形，具体要求详见本竞争性磋商文件资格性审查及符合性审查相关要求。</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40.</w:t>
      </w:r>
      <w:r>
        <w:rPr>
          <w:rFonts w:hint="eastAsia" w:ascii="宋体" w:hAnsi="宋体" w:eastAsia="宋体"/>
          <w:sz w:val="24"/>
          <w:szCs w:val="24"/>
          <w:highlight w:val="none"/>
        </w:rPr>
        <w:t>项目终止。出现下列情形之一的，采购人或者采购代理机构应当终止竞争性磋商采购活动，发布项目终止公告并说明原因，重新开展采购活动：</w:t>
      </w:r>
    </w:p>
    <w:p>
      <w:pPr>
        <w:adjustRightInd w:val="0"/>
        <w:snapToGrid w:val="0"/>
        <w:spacing w:line="360" w:lineRule="auto"/>
        <w:ind w:left="600" w:hanging="600" w:hangingChars="250"/>
        <w:jc w:val="left"/>
        <w:rPr>
          <w:rFonts w:ascii="宋体" w:hAnsi="宋体" w:eastAsia="宋体"/>
          <w:sz w:val="24"/>
          <w:szCs w:val="24"/>
          <w:highlight w:val="none"/>
        </w:rPr>
      </w:pPr>
      <w:r>
        <w:rPr>
          <w:rFonts w:hint="eastAsia" w:ascii="宋体" w:hAnsi="宋体" w:eastAsia="宋体"/>
          <w:sz w:val="24"/>
          <w:szCs w:val="24"/>
          <w:highlight w:val="none"/>
        </w:rPr>
        <w:t>4</w:t>
      </w:r>
      <w:r>
        <w:rPr>
          <w:rFonts w:ascii="宋体" w:hAnsi="宋体" w:eastAsia="宋体"/>
          <w:sz w:val="24"/>
          <w:szCs w:val="24"/>
          <w:highlight w:val="none"/>
        </w:rPr>
        <w:t>0</w:t>
      </w:r>
      <w:r>
        <w:rPr>
          <w:rFonts w:hint="eastAsia" w:ascii="宋体" w:hAnsi="宋体" w:eastAsia="宋体"/>
          <w:sz w:val="24"/>
          <w:szCs w:val="24"/>
          <w:highlight w:val="none"/>
        </w:rPr>
        <w:t>.</w:t>
      </w:r>
      <w:r>
        <w:rPr>
          <w:rFonts w:ascii="宋体" w:hAnsi="宋体" w:eastAsia="宋体"/>
          <w:sz w:val="24"/>
          <w:szCs w:val="24"/>
          <w:highlight w:val="none"/>
        </w:rPr>
        <w:t xml:space="preserve">1 </w:t>
      </w:r>
      <w:r>
        <w:rPr>
          <w:rFonts w:hint="eastAsia" w:ascii="宋体" w:hAnsi="宋体" w:eastAsia="宋体"/>
          <w:sz w:val="24"/>
          <w:szCs w:val="24"/>
          <w:highlight w:val="none"/>
        </w:rPr>
        <w:t>因情况变化，不再符合规定的竞争性磋商采购方式适用情形的；</w:t>
      </w:r>
    </w:p>
    <w:p>
      <w:pPr>
        <w:adjustRightInd w:val="0"/>
        <w:snapToGrid w:val="0"/>
        <w:spacing w:line="360" w:lineRule="auto"/>
        <w:ind w:left="600" w:hanging="600" w:hangingChars="250"/>
        <w:jc w:val="left"/>
        <w:rPr>
          <w:rFonts w:ascii="宋体" w:hAnsi="宋体" w:eastAsia="宋体"/>
          <w:sz w:val="24"/>
          <w:szCs w:val="24"/>
          <w:highlight w:val="none"/>
        </w:rPr>
      </w:pPr>
      <w:r>
        <w:rPr>
          <w:rFonts w:hint="eastAsia" w:ascii="宋体" w:hAnsi="宋体" w:eastAsia="宋体"/>
          <w:sz w:val="24"/>
          <w:szCs w:val="24"/>
          <w:highlight w:val="none"/>
        </w:rPr>
        <w:t>4</w:t>
      </w:r>
      <w:r>
        <w:rPr>
          <w:rFonts w:ascii="宋体" w:hAnsi="宋体" w:eastAsia="宋体"/>
          <w:sz w:val="24"/>
          <w:szCs w:val="24"/>
          <w:highlight w:val="none"/>
        </w:rPr>
        <w:t>0</w:t>
      </w:r>
      <w:r>
        <w:rPr>
          <w:rFonts w:hint="eastAsia" w:ascii="宋体" w:hAnsi="宋体" w:eastAsia="宋体"/>
          <w:sz w:val="24"/>
          <w:szCs w:val="24"/>
          <w:highlight w:val="none"/>
        </w:rPr>
        <w:t>.</w:t>
      </w:r>
      <w:r>
        <w:rPr>
          <w:rFonts w:ascii="宋体" w:hAnsi="宋体" w:eastAsia="宋体"/>
          <w:sz w:val="24"/>
          <w:szCs w:val="24"/>
          <w:highlight w:val="none"/>
        </w:rPr>
        <w:t xml:space="preserve">2 </w:t>
      </w:r>
      <w:r>
        <w:rPr>
          <w:rFonts w:hint="eastAsia" w:ascii="宋体" w:hAnsi="宋体" w:eastAsia="宋体"/>
          <w:sz w:val="24"/>
          <w:szCs w:val="24"/>
          <w:highlight w:val="none"/>
        </w:rPr>
        <w:t>出现影响采购公正的违法、违规行为的。</w:t>
      </w:r>
    </w:p>
    <w:p>
      <w:pPr>
        <w:pStyle w:val="4"/>
        <w:jc w:val="center"/>
        <w:rPr>
          <w:sz w:val="32"/>
          <w:highlight w:val="none"/>
        </w:rPr>
      </w:pPr>
      <w:bookmarkStart w:id="47" w:name="_Toc65158790"/>
      <w:r>
        <w:rPr>
          <w:rFonts w:hint="eastAsia"/>
          <w:sz w:val="32"/>
          <w:highlight w:val="none"/>
        </w:rPr>
        <w:t>纪律与监督</w:t>
      </w:r>
      <w:bookmarkEnd w:id="47"/>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41.对采购人和采购代理机构的纪律要求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41.1 采购人和采购代理机构不得相互串通损害国家利益、社会公共利益和其他当事人的合法权益；不得以任何手段排斥其他供应商参与竞争。</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41.2 采购人和采购代理机构不得向供应商索要或者接受其给予的赠品、回扣或者与采购无关的其他商品、服务。</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41.3 采购人和采购代理机构工作人员不得接受供应商组织的宴请、旅游、娱乐，不得收受礼品、现金、有价证券等，不得向供应商报销应当由个人承担的费用。</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41.4 采购人可以根据采购项目的特殊要求，规定供应商的特定</w:t>
      </w:r>
      <w:r>
        <w:rPr>
          <w:rFonts w:hint="eastAsia" w:ascii="宋体" w:hAnsi="宋体" w:eastAsia="宋体"/>
          <w:sz w:val="24"/>
          <w:szCs w:val="24"/>
          <w:highlight w:val="none"/>
        </w:rPr>
        <w:t>资格要求</w:t>
      </w:r>
      <w:r>
        <w:rPr>
          <w:rFonts w:ascii="宋体" w:hAnsi="宋体" w:eastAsia="宋体"/>
          <w:sz w:val="24"/>
          <w:szCs w:val="24"/>
          <w:highlight w:val="none"/>
        </w:rPr>
        <w:t>条件，但不得以不合理的条件对供应商实行差别待遇或者歧视待遇。</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41.5 采购人和采购代理机构不得向他人透露已获取竞争性磋商文件的潜在供应商的名称、数量以及可能影响公平竞争的有关</w:t>
      </w:r>
      <w:r>
        <w:rPr>
          <w:rFonts w:hint="eastAsia" w:ascii="宋体" w:hAnsi="宋体" w:eastAsia="宋体"/>
          <w:sz w:val="24"/>
          <w:szCs w:val="24"/>
          <w:highlight w:val="none"/>
        </w:rPr>
        <w:t>磋商</w:t>
      </w:r>
      <w:r>
        <w:rPr>
          <w:rFonts w:ascii="宋体" w:hAnsi="宋体" w:eastAsia="宋体"/>
          <w:sz w:val="24"/>
          <w:szCs w:val="24"/>
          <w:highlight w:val="none"/>
        </w:rPr>
        <w:t>的其他情况。</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41.6 采购人和采购代理机构不得向磋商小组的评审专家作倾向性、误导性的解释或者说明。</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41.7 采购人或者采购代理机构不得通过对样品进行检测、对供应商进行考察等方式改变评审结果。</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41.8 采购人和采购代理机构不得向成交供应商提出任何不合理的要求，作为签订合同的 条件，不得与成交供应商私下订立背离合同实质性内容的协议。</w:t>
      </w:r>
    </w:p>
    <w:p>
      <w:pPr>
        <w:adjustRightInd w:val="0"/>
        <w:snapToGrid w:val="0"/>
        <w:spacing w:line="360" w:lineRule="auto"/>
        <w:rPr>
          <w:rFonts w:ascii="宋体" w:hAnsi="宋体" w:eastAsia="宋体"/>
          <w:sz w:val="24"/>
          <w:szCs w:val="24"/>
          <w:highlight w:val="none"/>
        </w:rPr>
      </w:pPr>
      <w:r>
        <w:rPr>
          <w:rFonts w:ascii="宋体" w:hAnsi="宋体" w:eastAsia="宋体"/>
          <w:sz w:val="24"/>
          <w:szCs w:val="24"/>
          <w:highlight w:val="none"/>
        </w:rPr>
        <w:t>42.对供应商的纪律要求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42.1 供应商不得以向采购人、采购代理机构、磋商小组的组成人员行贿或者提供虚假材料以及采取其他不正当手段谋取成交。</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42.2 供应商之间不得相互串通磋商报价，不得妨碍其他供应商的公平竞争，不得损害政府采购活动各当事人的合法权益。</w:t>
      </w:r>
    </w:p>
    <w:p>
      <w:pPr>
        <w:adjustRightInd w:val="0"/>
        <w:snapToGrid w:val="0"/>
        <w:spacing w:line="360" w:lineRule="auto"/>
        <w:ind w:left="840" w:hanging="840" w:hangingChars="350"/>
        <w:rPr>
          <w:rFonts w:ascii="宋体" w:hAnsi="宋体" w:eastAsia="宋体"/>
          <w:sz w:val="24"/>
          <w:szCs w:val="24"/>
          <w:highlight w:val="none"/>
        </w:rPr>
      </w:pPr>
      <w:r>
        <w:rPr>
          <w:rFonts w:ascii="宋体" w:hAnsi="宋体" w:eastAsia="宋体"/>
          <w:sz w:val="24"/>
          <w:szCs w:val="24"/>
          <w:highlight w:val="none"/>
        </w:rPr>
        <w:t>42.3 供应商不得非法干预、影响评审办法的确定，以及评审过程和结果。</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43.对磋商小组成员的纪律要求</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43.1 磋商小组成员与供应商有利害关系的，必须回避。</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43.2 磋商小组成员应当遵守评审工作纪律，不得泄露评审文件、评审情况和评审中获悉的商业秘密。在评审过程中发现供应商有行贿、提供虚假材料或者串通等违法行为的，应当及时向财政部门报告。政府采购评审专家在评审过程中受到非法干预的，应当及时向财政、监察等部门举报。</w:t>
      </w:r>
    </w:p>
    <w:p>
      <w:pPr>
        <w:adjustRightInd w:val="0"/>
        <w:snapToGrid w:val="0"/>
        <w:spacing w:line="360" w:lineRule="auto"/>
        <w:ind w:left="600" w:hanging="600" w:hangingChars="250"/>
        <w:rPr>
          <w:rFonts w:ascii="宋体" w:hAnsi="宋体" w:eastAsia="宋体"/>
          <w:sz w:val="24"/>
          <w:szCs w:val="24"/>
          <w:highlight w:val="none"/>
        </w:rPr>
      </w:pPr>
      <w:r>
        <w:rPr>
          <w:rFonts w:ascii="宋体" w:hAnsi="宋体" w:eastAsia="宋体"/>
          <w:sz w:val="24"/>
          <w:szCs w:val="24"/>
          <w:highlight w:val="none"/>
        </w:rPr>
        <w:t>43.3 磋商小组成员应当按照客观、公正、审慎的原则，根据竞争性磋商文件规定的评审程序、评审方法和评审标准进行独立评审。竞争性磋商文件内容违反国家有关强制性规定的，磋商小组应当停止评审并向采购人或者采购代理机构说明情况。竞争性磋商文件中没有规定的评审标准不得作为评审的依据。磋商小组成员应当在评审报告上签字，对自己的评审意见承担法律责任。对评审报告有异议的，应当在评审报告上签署不同意见，并说明理由，否则视为同意评审报告。</w:t>
      </w:r>
    </w:p>
    <w:p>
      <w:pPr>
        <w:pStyle w:val="4"/>
        <w:jc w:val="center"/>
        <w:rPr>
          <w:sz w:val="32"/>
          <w:highlight w:val="none"/>
        </w:rPr>
      </w:pPr>
      <w:bookmarkStart w:id="48" w:name="_Toc65158791"/>
      <w:r>
        <w:rPr>
          <w:rFonts w:hint="eastAsia"/>
          <w:sz w:val="32"/>
          <w:highlight w:val="none"/>
        </w:rPr>
        <w:t>条文解读</w:t>
      </w:r>
      <w:bookmarkEnd w:id="48"/>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44.政府采购法第二十二条第五项所称重大违法记录，是指供应商因违法经营受到刑事处罚或者责令停产停业、吊销许可证或者执照、较大数额罚款等行政处罚。</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45.按照财政部《关于规范政府采购行政处罚有关问题的通知》的规定，各级人民政府财政部门依法对参加政府采购活动的供应商作出的禁止参加政府采购活动等行政处罚决定在全国范围内生效。</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46.供应商在参加政府采购活动前3年内因违法经营被禁止在一定期限内参加政府采购活动，期限届满的，可以参加政府采购活动。</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47.根据财政部《中华人民共和国政府采购法实施条例》释义中关于供应商资格条件的解释，对于银行、保险、石油石化、电力、电信等有行业特殊情况的，采购人和代理机构允许其分支机构参与</w:t>
      </w:r>
      <w:r>
        <w:rPr>
          <w:rFonts w:hint="eastAsia" w:ascii="宋体" w:hAnsi="宋体" w:eastAsia="宋体"/>
          <w:sz w:val="24"/>
          <w:szCs w:val="24"/>
          <w:highlight w:val="none"/>
        </w:rPr>
        <w:t>磋商</w:t>
      </w:r>
      <w:r>
        <w:rPr>
          <w:rFonts w:ascii="宋体" w:hAnsi="宋体" w:eastAsia="宋体"/>
          <w:sz w:val="24"/>
          <w:szCs w:val="24"/>
          <w:highlight w:val="none"/>
        </w:rPr>
        <w:t>。</w:t>
      </w:r>
    </w:p>
    <w:p>
      <w:pPr>
        <w:pStyle w:val="4"/>
        <w:jc w:val="center"/>
        <w:rPr>
          <w:sz w:val="32"/>
          <w:highlight w:val="none"/>
        </w:rPr>
      </w:pPr>
      <w:bookmarkStart w:id="49" w:name="_Toc65158792"/>
      <w:r>
        <w:rPr>
          <w:rFonts w:hint="eastAsia"/>
          <w:sz w:val="32"/>
          <w:highlight w:val="none"/>
        </w:rPr>
        <w:t>注意事项</w:t>
      </w:r>
      <w:bookmarkEnd w:id="49"/>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48.单位负责人为同一人或者存在直接控股、管理关系的不同供应商，不得参加同一合同项下的政府采购活动。</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49.除单一来源采购项目外，为采购项目提供整体设计、规范编制或者项目管理、监理、检测等服务的供应商，不得再参加该采购项目的其他采购活动。</w:t>
      </w:r>
    </w:p>
    <w:p>
      <w:pPr>
        <w:pStyle w:val="4"/>
        <w:jc w:val="center"/>
        <w:rPr>
          <w:sz w:val="32"/>
          <w:highlight w:val="none"/>
        </w:rPr>
      </w:pPr>
      <w:bookmarkStart w:id="50" w:name="_Toc65158793"/>
      <w:r>
        <w:rPr>
          <w:rFonts w:hint="eastAsia"/>
          <w:sz w:val="32"/>
          <w:highlight w:val="none"/>
        </w:rPr>
        <w:t>适用法律</w:t>
      </w:r>
      <w:bookmarkEnd w:id="50"/>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50.采购人、代理机构及供应商的一切</w:t>
      </w:r>
      <w:r>
        <w:rPr>
          <w:rFonts w:hint="eastAsia" w:ascii="宋体" w:hAnsi="宋体" w:eastAsia="宋体"/>
          <w:sz w:val="24"/>
          <w:szCs w:val="24"/>
          <w:highlight w:val="none"/>
        </w:rPr>
        <w:t>采购</w:t>
      </w:r>
      <w:r>
        <w:rPr>
          <w:rFonts w:ascii="宋体" w:hAnsi="宋体" w:eastAsia="宋体"/>
          <w:sz w:val="24"/>
          <w:szCs w:val="24"/>
          <w:highlight w:val="none"/>
        </w:rPr>
        <w:t>活动均适用《中华人民共和国政府采购法》、《中华人民共和国政府采购法实施条例》、《</w:t>
      </w:r>
      <w:r>
        <w:rPr>
          <w:rFonts w:hint="eastAsia" w:ascii="宋体" w:hAnsi="宋体" w:eastAsia="宋体"/>
          <w:sz w:val="24"/>
          <w:szCs w:val="24"/>
          <w:highlight w:val="none"/>
        </w:rPr>
        <w:t>政府采购竞争性磋商采购方式管理暂行办法</w:t>
      </w:r>
      <w:r>
        <w:rPr>
          <w:rFonts w:ascii="宋体" w:hAnsi="宋体" w:eastAsia="宋体"/>
          <w:sz w:val="24"/>
          <w:szCs w:val="24"/>
          <w:highlight w:val="none"/>
        </w:rPr>
        <w:t>》及相关法律法规。</w:t>
      </w:r>
    </w:p>
    <w:p>
      <w:pPr>
        <w:adjustRightInd w:val="0"/>
        <w:snapToGrid w:val="0"/>
        <w:spacing w:line="360" w:lineRule="auto"/>
        <w:ind w:left="360" w:hanging="360" w:hangingChars="150"/>
        <w:rPr>
          <w:rFonts w:ascii="宋体" w:hAnsi="宋体" w:eastAsia="宋体"/>
          <w:sz w:val="24"/>
          <w:szCs w:val="24"/>
          <w:highlight w:val="none"/>
        </w:rPr>
      </w:pPr>
      <w:r>
        <w:rPr>
          <w:rFonts w:ascii="宋体" w:hAnsi="宋体" w:eastAsia="宋体"/>
          <w:sz w:val="24"/>
          <w:szCs w:val="24"/>
          <w:highlight w:val="none"/>
        </w:rPr>
        <w:t>51.政府采购合同的履行、违约责任和解决争议的方法等适用《合同法》。</w:t>
      </w:r>
    </w:p>
    <w:p>
      <w:pPr>
        <w:pStyle w:val="4"/>
        <w:jc w:val="center"/>
        <w:rPr>
          <w:sz w:val="32"/>
          <w:highlight w:val="none"/>
        </w:rPr>
      </w:pPr>
      <w:bookmarkStart w:id="51" w:name="_Toc65158794"/>
      <w:r>
        <w:rPr>
          <w:rFonts w:hint="eastAsia"/>
          <w:sz w:val="32"/>
          <w:highlight w:val="none"/>
        </w:rPr>
        <w:t>解释权</w:t>
      </w:r>
      <w:bookmarkEnd w:id="51"/>
    </w:p>
    <w:p>
      <w:pPr>
        <w:adjustRightInd w:val="0"/>
        <w:snapToGrid w:val="0"/>
        <w:spacing w:line="360" w:lineRule="auto"/>
        <w:rPr>
          <w:rFonts w:ascii="宋体" w:hAnsi="宋体" w:eastAsia="宋体"/>
          <w:sz w:val="24"/>
          <w:szCs w:val="24"/>
          <w:highlight w:val="none"/>
        </w:rPr>
      </w:pPr>
      <w:r>
        <w:rPr>
          <w:rFonts w:hint="eastAsia" w:ascii="宋体" w:hAnsi="宋体" w:eastAsia="宋体"/>
          <w:sz w:val="24"/>
          <w:szCs w:val="24"/>
          <w:highlight w:val="none"/>
        </w:rPr>
        <w:t>5</w:t>
      </w:r>
      <w:r>
        <w:rPr>
          <w:rFonts w:ascii="宋体" w:hAnsi="宋体" w:eastAsia="宋体"/>
          <w:sz w:val="24"/>
          <w:szCs w:val="24"/>
          <w:highlight w:val="none"/>
        </w:rPr>
        <w:t>2.</w:t>
      </w:r>
      <w:r>
        <w:rPr>
          <w:rFonts w:hint="eastAsia" w:ascii="宋体" w:hAnsi="宋体" w:eastAsia="宋体"/>
          <w:sz w:val="24"/>
          <w:szCs w:val="24"/>
          <w:highlight w:val="none"/>
        </w:rPr>
        <w:t>竞争性磋商文件的最终解释权为采购人和代理机构所有。</w:t>
      </w:r>
    </w:p>
    <w:bookmarkEnd w:id="22"/>
    <w:p>
      <w:pPr>
        <w:rPr>
          <w:highlight w:val="none"/>
        </w:rPr>
      </w:pPr>
      <w:bookmarkStart w:id="52" w:name="_Toc38457836"/>
      <w:bookmarkStart w:id="53" w:name="_Toc511894507"/>
      <w:bookmarkStart w:id="54" w:name="_Toc2782577"/>
      <w:bookmarkStart w:id="55" w:name="_Toc511889429"/>
      <w:r>
        <w:rPr>
          <w:highlight w:val="none"/>
        </w:rPr>
        <w:br w:type="page"/>
      </w:r>
    </w:p>
    <w:bookmarkEnd w:id="52"/>
    <w:bookmarkEnd w:id="53"/>
    <w:bookmarkEnd w:id="54"/>
    <w:bookmarkEnd w:id="55"/>
    <w:p>
      <w:pPr>
        <w:pStyle w:val="3"/>
        <w:jc w:val="center"/>
        <w:rPr>
          <w:sz w:val="36"/>
          <w:szCs w:val="36"/>
          <w:highlight w:val="none"/>
        </w:rPr>
      </w:pPr>
      <w:bookmarkStart w:id="56" w:name="_Toc65158795"/>
      <w:r>
        <w:rPr>
          <w:rFonts w:hint="eastAsia"/>
          <w:sz w:val="36"/>
          <w:szCs w:val="36"/>
          <w:highlight w:val="none"/>
        </w:rPr>
        <w:t>项目需求书</w:t>
      </w:r>
      <w:bookmarkEnd w:id="56"/>
      <w:bookmarkStart w:id="57" w:name="_Hlk38456025"/>
    </w:p>
    <w:bookmarkEnd w:id="57"/>
    <w:p>
      <w:pPr>
        <w:pStyle w:val="4"/>
        <w:jc w:val="center"/>
        <w:rPr>
          <w:sz w:val="32"/>
          <w:highlight w:val="none"/>
        </w:rPr>
      </w:pPr>
      <w:bookmarkStart w:id="58" w:name="_Toc65158796"/>
      <w:bookmarkStart w:id="59" w:name="_Toc38457837"/>
      <w:bookmarkStart w:id="60" w:name="_Toc2782579"/>
      <w:bookmarkStart w:id="61" w:name="_Toc511894509"/>
      <w:bookmarkStart w:id="62" w:name="_Toc511889431"/>
      <w:bookmarkStart w:id="63" w:name="_Toc494561953"/>
      <w:bookmarkStart w:id="64" w:name="_Toc2782578"/>
      <w:bookmarkStart w:id="65" w:name="_Toc511894508"/>
      <w:bookmarkStart w:id="66" w:name="_Toc511889430"/>
      <w:bookmarkStart w:id="67" w:name="_Toc494561952"/>
      <w:bookmarkStart w:id="68" w:name="_Toc339378679"/>
      <w:bookmarkStart w:id="69" w:name="_Toc338065593"/>
      <w:r>
        <w:rPr>
          <w:rFonts w:hint="eastAsia"/>
          <w:sz w:val="32"/>
          <w:highlight w:val="none"/>
        </w:rPr>
        <w:t>项目背景概述</w:t>
      </w:r>
      <w:bookmarkEnd w:id="58"/>
      <w:bookmarkEnd w:id="59"/>
      <w:bookmarkEnd w:id="60"/>
      <w:bookmarkEnd w:id="61"/>
      <w:bookmarkEnd w:id="62"/>
      <w:bookmarkEnd w:id="63"/>
    </w:p>
    <w:p>
      <w:pPr>
        <w:spacing w:line="360" w:lineRule="auto"/>
        <w:ind w:firstLine="480" w:firstLineChars="200"/>
        <w:rPr>
          <w:rFonts w:hint="eastAsia" w:ascii="宋体" w:hAnsi="宋体" w:eastAsia="宋体" w:cs="宋体"/>
          <w:color w:val="0D0D0D"/>
          <w:sz w:val="28"/>
          <w:szCs w:val="28"/>
          <w:highlight w:val="none"/>
          <w:lang w:val="en-US" w:eastAsia="zh-CN"/>
        </w:rPr>
      </w:pPr>
      <w:r>
        <w:rPr>
          <w:rFonts w:hint="eastAsia" w:ascii="宋体" w:hAnsi="宋体" w:eastAsia="宋体" w:cs="宋体"/>
          <w:i w:val="0"/>
          <w:iCs w:val="0"/>
          <w:caps w:val="0"/>
          <w:color w:val="000000"/>
          <w:spacing w:val="0"/>
          <w:sz w:val="24"/>
          <w:szCs w:val="24"/>
          <w:highlight w:val="none"/>
        </w:rPr>
        <w:t>2021年平安校园“七防”建设</w:t>
      </w:r>
      <w:r>
        <w:rPr>
          <w:rFonts w:hint="eastAsia" w:ascii="宋体" w:hAnsi="宋体" w:eastAsia="宋体" w:cs="宋体"/>
          <w:i w:val="0"/>
          <w:iCs w:val="0"/>
          <w:caps w:val="0"/>
          <w:color w:val="000000"/>
          <w:spacing w:val="0"/>
          <w:sz w:val="24"/>
          <w:szCs w:val="24"/>
          <w:highlight w:val="none"/>
          <w:lang w:val="en-US" w:eastAsia="zh-CN"/>
        </w:rPr>
        <w:t>,新增新增视频监控摄像头及维护。</w:t>
      </w:r>
    </w:p>
    <w:p>
      <w:pPr>
        <w:widowControl/>
        <w:jc w:val="left"/>
        <w:rPr>
          <w:rFonts w:ascii="Times New Roman" w:hAnsi="Times New Roman" w:eastAsia="黑体" w:cstheme="majorBidi"/>
          <w:bCs/>
          <w:sz w:val="32"/>
          <w:szCs w:val="32"/>
          <w:highlight w:val="none"/>
        </w:rPr>
      </w:pPr>
      <w:bookmarkStart w:id="70" w:name="_Toc38457838"/>
      <w:r>
        <w:rPr>
          <w:sz w:val="32"/>
          <w:highlight w:val="none"/>
        </w:rPr>
        <w:br w:type="page"/>
      </w:r>
    </w:p>
    <w:p>
      <w:pPr>
        <w:pStyle w:val="4"/>
        <w:jc w:val="center"/>
        <w:rPr>
          <w:sz w:val="32"/>
          <w:highlight w:val="none"/>
        </w:rPr>
      </w:pPr>
      <w:bookmarkStart w:id="71" w:name="_Toc65158797"/>
      <w:r>
        <w:rPr>
          <w:rFonts w:hint="eastAsia"/>
          <w:sz w:val="32"/>
          <w:highlight w:val="none"/>
        </w:rPr>
        <w:t>项目采购清单</w:t>
      </w:r>
      <w:bookmarkEnd w:id="64"/>
      <w:bookmarkEnd w:id="65"/>
      <w:bookmarkEnd w:id="66"/>
      <w:bookmarkEnd w:id="67"/>
      <w:bookmarkEnd w:id="70"/>
      <w:bookmarkEnd w:id="71"/>
    </w:p>
    <w:bookmarkEnd w:id="68"/>
    <w:bookmarkEnd w:id="69"/>
    <w:p>
      <w:pPr>
        <w:spacing w:line="360" w:lineRule="auto"/>
        <w:jc w:val="center"/>
        <w:rPr>
          <w:b/>
          <w:bCs/>
          <w:sz w:val="24"/>
          <w:szCs w:val="24"/>
          <w:highlight w:val="none"/>
        </w:rPr>
      </w:pPr>
      <w:bookmarkStart w:id="72" w:name="_Hlk38619712"/>
      <w:bookmarkStart w:id="73" w:name="_Toc338065594"/>
      <w:bookmarkStart w:id="74" w:name="_Toc339378680"/>
      <w:r>
        <w:rPr>
          <w:rFonts w:hint="eastAsia"/>
          <w:b/>
          <w:bCs/>
          <w:sz w:val="24"/>
          <w:szCs w:val="24"/>
          <w:highlight w:val="none"/>
        </w:rPr>
        <w:t>项目采购清单一览表</w:t>
      </w:r>
      <w:bookmarkEnd w:id="72"/>
    </w:p>
    <w:tbl>
      <w:tblPr>
        <w:tblStyle w:val="32"/>
        <w:tblW w:w="468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19"/>
        <w:gridCol w:w="2616"/>
        <w:gridCol w:w="1433"/>
        <w:gridCol w:w="1433"/>
        <w:gridCol w:w="143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949"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bookmarkStart w:id="75" w:name="_Hlk38618982"/>
            <w:r>
              <w:rPr>
                <w:rFonts w:hint="eastAsia" w:ascii="宋体" w:hAnsi="宋体"/>
                <w:color w:val="000000"/>
                <w:sz w:val="24"/>
                <w:szCs w:val="24"/>
                <w:highlight w:val="none"/>
              </w:rPr>
              <w:t>序号</w:t>
            </w:r>
          </w:p>
        </w:tc>
        <w:tc>
          <w:tcPr>
            <w:tcW w:w="1532"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lang w:eastAsia="zh-CN"/>
              </w:rPr>
              <w:t>项目</w:t>
            </w:r>
            <w:r>
              <w:rPr>
                <w:rFonts w:hint="eastAsia" w:ascii="宋体" w:hAnsi="宋体"/>
                <w:color w:val="000000"/>
                <w:sz w:val="24"/>
                <w:szCs w:val="24"/>
                <w:highlight w:val="none"/>
              </w:rPr>
              <w:t>名称</w:t>
            </w:r>
          </w:p>
        </w:tc>
        <w:tc>
          <w:tcPr>
            <w:tcW w:w="839"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数量</w:t>
            </w:r>
          </w:p>
        </w:tc>
        <w:tc>
          <w:tcPr>
            <w:tcW w:w="839"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单位</w:t>
            </w:r>
          </w:p>
        </w:tc>
        <w:tc>
          <w:tcPr>
            <w:tcW w:w="839"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ascii="宋体" w:hAnsi="宋体"/>
                <w:color w:val="000000"/>
                <w:sz w:val="24"/>
                <w:szCs w:val="24"/>
                <w:highlight w:val="none"/>
              </w:rPr>
            </w:pPr>
            <w:r>
              <w:rPr>
                <w:rFonts w:ascii="宋体" w:hAnsi="宋体"/>
                <w:color w:val="000000"/>
                <w:sz w:val="24"/>
                <w:szCs w:val="24"/>
                <w:highlight w:val="none"/>
              </w:rPr>
              <w:t>1</w:t>
            </w:r>
          </w:p>
        </w:tc>
        <w:tc>
          <w:tcPr>
            <w:tcW w:w="1532" w:type="pct"/>
            <w:vAlign w:val="center"/>
          </w:tcPr>
          <w:p>
            <w:pPr>
              <w:adjustRightInd w:val="0"/>
              <w:snapToGrid w:val="0"/>
              <w:ind w:left="-88" w:leftChars="-42"/>
              <w:jc w:val="center"/>
              <w:rPr>
                <w:rFonts w:hint="default" w:ascii="宋体" w:eastAsiaTheme="minorEastAsia"/>
                <w:color w:val="000000"/>
                <w:sz w:val="24"/>
                <w:szCs w:val="24"/>
                <w:highlight w:val="none"/>
                <w:lang w:val="en-US" w:eastAsia="zh-CN"/>
              </w:rPr>
            </w:pPr>
            <w:r>
              <w:rPr>
                <w:rFonts w:hint="eastAsia" w:ascii="宋体"/>
                <w:color w:val="000000"/>
                <w:sz w:val="24"/>
                <w:szCs w:val="24"/>
                <w:highlight w:val="none"/>
              </w:rPr>
              <w:t>视频监控设备</w:t>
            </w:r>
            <w:r>
              <w:rPr>
                <w:rFonts w:hint="eastAsia" w:ascii="宋体"/>
                <w:color w:val="000000"/>
                <w:sz w:val="24"/>
                <w:szCs w:val="24"/>
                <w:highlight w:val="none"/>
                <w:lang w:val="en-US" w:eastAsia="zh-CN"/>
              </w:rPr>
              <w:t>(一)</w:t>
            </w:r>
          </w:p>
        </w:tc>
        <w:tc>
          <w:tcPr>
            <w:tcW w:w="839" w:type="pct"/>
            <w:vAlign w:val="center"/>
          </w:tcPr>
          <w:p>
            <w:pPr>
              <w:adjustRightInd w:val="0"/>
              <w:snapToGrid w:val="0"/>
              <w:jc w:val="center"/>
              <w:rPr>
                <w:rFonts w:hint="default" w:ascii="宋体" w:eastAsiaTheme="minorEastAsia"/>
                <w:color w:val="000000"/>
                <w:sz w:val="24"/>
                <w:szCs w:val="24"/>
                <w:highlight w:val="none"/>
                <w:lang w:val="en-US" w:eastAsia="zh-CN"/>
              </w:rPr>
            </w:pPr>
            <w:r>
              <w:rPr>
                <w:rFonts w:hint="eastAsia" w:ascii="宋体"/>
                <w:color w:val="000000"/>
                <w:sz w:val="24"/>
                <w:szCs w:val="24"/>
                <w:highlight w:val="none"/>
                <w:lang w:val="en-US" w:eastAsia="zh-CN"/>
              </w:rPr>
              <w:t>40</w:t>
            </w:r>
          </w:p>
        </w:tc>
        <w:tc>
          <w:tcPr>
            <w:tcW w:w="839" w:type="pct"/>
            <w:vAlign w:val="center"/>
          </w:tcPr>
          <w:p>
            <w:pPr>
              <w:adjustRightInd w:val="0"/>
              <w:snapToGrid w:val="0"/>
              <w:jc w:val="center"/>
              <w:rPr>
                <w:rFonts w:hint="eastAsia" w:ascii="宋体" w:eastAsiaTheme="minorEastAsia"/>
                <w:color w:val="000000"/>
                <w:sz w:val="24"/>
                <w:szCs w:val="24"/>
                <w:highlight w:val="none"/>
                <w:lang w:val="en-US" w:eastAsia="zh-CN"/>
              </w:rPr>
            </w:pPr>
            <w:r>
              <w:rPr>
                <w:rFonts w:hint="eastAsia" w:ascii="宋体"/>
                <w:color w:val="000000"/>
                <w:sz w:val="24"/>
                <w:szCs w:val="24"/>
                <w:highlight w:val="none"/>
                <w:lang w:val="en-US" w:eastAsia="zh-CN"/>
              </w:rPr>
              <w:t>个</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ascii="宋体" w:hAnsi="宋体"/>
                <w:color w:val="000000"/>
                <w:sz w:val="24"/>
                <w:szCs w:val="24"/>
                <w:highlight w:val="none"/>
              </w:rPr>
            </w:pPr>
            <w:r>
              <w:rPr>
                <w:rFonts w:ascii="宋体" w:hAnsi="宋体"/>
                <w:color w:val="000000"/>
                <w:sz w:val="24"/>
                <w:szCs w:val="24"/>
                <w:highlight w:val="none"/>
              </w:rPr>
              <w:t>2</w:t>
            </w:r>
          </w:p>
        </w:tc>
        <w:tc>
          <w:tcPr>
            <w:tcW w:w="1532" w:type="pct"/>
            <w:vAlign w:val="center"/>
          </w:tcPr>
          <w:p>
            <w:pPr>
              <w:adjustRightInd w:val="0"/>
              <w:snapToGrid w:val="0"/>
              <w:ind w:left="-88" w:leftChars="-42"/>
              <w:jc w:val="center"/>
              <w:rPr>
                <w:rFonts w:hint="eastAsia" w:ascii="宋体" w:eastAsiaTheme="minorEastAsia"/>
                <w:color w:val="000000"/>
                <w:sz w:val="24"/>
                <w:szCs w:val="24"/>
                <w:highlight w:val="none"/>
                <w:lang w:eastAsia="zh-CN"/>
              </w:rPr>
            </w:pPr>
            <w:r>
              <w:rPr>
                <w:rFonts w:hint="eastAsia" w:ascii="宋体"/>
                <w:color w:val="000000"/>
                <w:sz w:val="24"/>
                <w:szCs w:val="24"/>
                <w:highlight w:val="none"/>
              </w:rPr>
              <w:t>视频监控设备</w:t>
            </w:r>
            <w:r>
              <w:rPr>
                <w:rFonts w:hint="eastAsia" w:ascii="宋体"/>
                <w:color w:val="000000"/>
                <w:sz w:val="24"/>
                <w:szCs w:val="24"/>
                <w:highlight w:val="none"/>
                <w:lang w:eastAsia="zh-CN"/>
              </w:rPr>
              <w:t>（二）</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rPr>
              <w:t>10</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lang w:val="en-US" w:eastAsia="zh-CN"/>
              </w:rPr>
              <w:t>个</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1532" w:type="pct"/>
            <w:vAlign w:val="center"/>
          </w:tcPr>
          <w:p>
            <w:pPr>
              <w:adjustRightInd w:val="0"/>
              <w:snapToGrid w:val="0"/>
              <w:ind w:left="-88" w:leftChars="-42"/>
              <w:jc w:val="center"/>
              <w:rPr>
                <w:rFonts w:ascii="宋体"/>
                <w:color w:val="000000"/>
                <w:sz w:val="24"/>
                <w:szCs w:val="24"/>
                <w:highlight w:val="none"/>
              </w:rPr>
            </w:pPr>
            <w:r>
              <w:rPr>
                <w:rFonts w:hint="eastAsia" w:ascii="宋体"/>
                <w:color w:val="000000"/>
                <w:sz w:val="24"/>
                <w:szCs w:val="24"/>
                <w:highlight w:val="none"/>
              </w:rPr>
              <w:t>监控管理平台</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rPr>
              <w:t>1</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lang w:val="en-US" w:eastAsia="zh-CN"/>
              </w:rPr>
              <w:t>个</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eastAsia" w:ascii="宋体" w:hAnsi="宋体" w:eastAsiaTheme="minorEastAsia"/>
                <w:color w:val="000000"/>
                <w:sz w:val="24"/>
                <w:szCs w:val="24"/>
                <w:highlight w:val="none"/>
                <w:lang w:eastAsia="zh-CN"/>
              </w:rPr>
            </w:pPr>
            <w:r>
              <w:rPr>
                <w:rFonts w:hint="eastAsia" w:ascii="宋体" w:hAnsi="宋体"/>
                <w:color w:val="000000"/>
                <w:sz w:val="24"/>
                <w:szCs w:val="24"/>
                <w:highlight w:val="none"/>
                <w:lang w:val="en-US" w:eastAsia="zh-CN"/>
              </w:rPr>
              <w:t>4</w:t>
            </w:r>
          </w:p>
        </w:tc>
        <w:tc>
          <w:tcPr>
            <w:tcW w:w="1532" w:type="pct"/>
            <w:vAlign w:val="center"/>
          </w:tcPr>
          <w:p>
            <w:pPr>
              <w:adjustRightInd w:val="0"/>
              <w:snapToGrid w:val="0"/>
              <w:ind w:left="-88" w:leftChars="-42"/>
              <w:jc w:val="center"/>
              <w:rPr>
                <w:rFonts w:ascii="宋体"/>
                <w:color w:val="000000"/>
                <w:sz w:val="24"/>
                <w:szCs w:val="24"/>
                <w:highlight w:val="none"/>
              </w:rPr>
            </w:pPr>
            <w:r>
              <w:rPr>
                <w:rFonts w:hint="eastAsia" w:ascii="宋体"/>
                <w:color w:val="000000"/>
                <w:sz w:val="24"/>
                <w:szCs w:val="24"/>
                <w:highlight w:val="none"/>
              </w:rPr>
              <w:t>硬盘</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rPr>
              <w:t>10</w:t>
            </w:r>
          </w:p>
        </w:tc>
        <w:tc>
          <w:tcPr>
            <w:tcW w:w="839" w:type="pct"/>
            <w:vAlign w:val="center"/>
          </w:tcPr>
          <w:p>
            <w:pPr>
              <w:adjustRightInd w:val="0"/>
              <w:snapToGrid w:val="0"/>
              <w:jc w:val="center"/>
              <w:rPr>
                <w:rFonts w:hint="eastAsia" w:ascii="宋体" w:eastAsiaTheme="minorEastAsia"/>
                <w:color w:val="000000"/>
                <w:sz w:val="24"/>
                <w:szCs w:val="24"/>
                <w:highlight w:val="none"/>
                <w:lang w:eastAsia="zh-CN"/>
              </w:rPr>
            </w:pPr>
            <w:r>
              <w:rPr>
                <w:rFonts w:hint="eastAsia" w:ascii="宋体"/>
                <w:color w:val="000000"/>
                <w:sz w:val="24"/>
                <w:szCs w:val="24"/>
                <w:highlight w:val="none"/>
                <w:lang w:eastAsia="zh-CN"/>
              </w:rPr>
              <w:t>块</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hAnsi="宋体"/>
                <w:color w:val="000000"/>
                <w:sz w:val="24"/>
                <w:szCs w:val="24"/>
                <w:highlight w:val="none"/>
                <w:lang w:val="en-US" w:eastAsia="zh-CN"/>
              </w:rPr>
            </w:pPr>
            <w:r>
              <w:rPr>
                <w:rFonts w:hint="eastAsia" w:ascii="宋体" w:hAnsi="宋体"/>
                <w:color w:val="000000"/>
                <w:sz w:val="24"/>
                <w:szCs w:val="24"/>
                <w:highlight w:val="none"/>
                <w:lang w:val="en-US" w:eastAsia="zh-CN"/>
              </w:rPr>
              <w:t>5</w:t>
            </w:r>
          </w:p>
        </w:tc>
        <w:tc>
          <w:tcPr>
            <w:tcW w:w="1532" w:type="pct"/>
            <w:vAlign w:val="center"/>
          </w:tcPr>
          <w:p>
            <w:pPr>
              <w:adjustRightInd w:val="0"/>
              <w:snapToGrid w:val="0"/>
              <w:ind w:left="-88" w:leftChars="-42"/>
              <w:jc w:val="center"/>
              <w:rPr>
                <w:rFonts w:ascii="宋体"/>
                <w:color w:val="000000"/>
                <w:sz w:val="24"/>
                <w:szCs w:val="24"/>
                <w:highlight w:val="none"/>
              </w:rPr>
            </w:pPr>
            <w:r>
              <w:rPr>
                <w:rFonts w:hint="eastAsia" w:ascii="宋体"/>
                <w:color w:val="000000"/>
                <w:sz w:val="24"/>
                <w:szCs w:val="24"/>
                <w:highlight w:val="none"/>
              </w:rPr>
              <w:t>立杆</w:t>
            </w:r>
          </w:p>
        </w:tc>
        <w:tc>
          <w:tcPr>
            <w:tcW w:w="839" w:type="pct"/>
            <w:vAlign w:val="center"/>
          </w:tcPr>
          <w:p>
            <w:pPr>
              <w:adjustRightInd w:val="0"/>
              <w:snapToGrid w:val="0"/>
              <w:jc w:val="center"/>
              <w:rPr>
                <w:rFonts w:hint="default" w:ascii="宋体" w:eastAsiaTheme="minorEastAsia"/>
                <w:color w:val="000000"/>
                <w:sz w:val="24"/>
                <w:szCs w:val="24"/>
                <w:highlight w:val="none"/>
                <w:lang w:val="en-US" w:eastAsia="zh-CN"/>
              </w:rPr>
            </w:pPr>
            <w:r>
              <w:rPr>
                <w:rFonts w:hint="eastAsia" w:ascii="宋体"/>
                <w:color w:val="000000"/>
                <w:sz w:val="24"/>
                <w:szCs w:val="24"/>
                <w:highlight w:val="none"/>
                <w:lang w:val="en-US" w:eastAsia="zh-CN"/>
              </w:rPr>
              <w:t>30</w:t>
            </w:r>
          </w:p>
        </w:tc>
        <w:tc>
          <w:tcPr>
            <w:tcW w:w="839" w:type="pct"/>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lang w:val="en-US" w:eastAsia="zh-CN"/>
              </w:rPr>
              <w:t>个</w:t>
            </w:r>
          </w:p>
        </w:tc>
        <w:tc>
          <w:tcPr>
            <w:tcW w:w="839"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6</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交换机（5口）</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10</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7</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交换机（24口）</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2</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台</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8</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监控电源</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40</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个</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9</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光纤收发器</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50</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个</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10</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室外监控防水箱</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10</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个</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11</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光纤</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900</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米</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12</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六类网线</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6</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箱</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13</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电源线</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3</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卷</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14</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室外电源线</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15</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卷</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15</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设施安装施工</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项</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949" w:type="pct"/>
            <w:vAlign w:val="center"/>
          </w:tcPr>
          <w:p>
            <w:pPr>
              <w:adjustRightInd w:val="0"/>
              <w:snapToGrid w:val="0"/>
              <w:ind w:left="-88" w:leftChars="-42"/>
              <w:jc w:val="center"/>
              <w:rPr>
                <w:rFonts w:hint="default" w:ascii="宋体"/>
                <w:color w:val="000000"/>
                <w:sz w:val="24"/>
                <w:szCs w:val="24"/>
                <w:highlight w:val="none"/>
                <w:lang w:val="en-US" w:eastAsia="zh-CN"/>
              </w:rPr>
            </w:pPr>
            <w:r>
              <w:rPr>
                <w:rFonts w:hint="eastAsia" w:ascii="宋体"/>
                <w:color w:val="000000"/>
                <w:sz w:val="24"/>
                <w:szCs w:val="24"/>
                <w:highlight w:val="none"/>
                <w:lang w:val="en-US" w:eastAsia="zh-CN"/>
              </w:rPr>
              <w:t>16</w:t>
            </w:r>
          </w:p>
        </w:tc>
        <w:tc>
          <w:tcPr>
            <w:tcW w:w="1532"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旧的故障摄像机头拆装及维修</w:t>
            </w:r>
          </w:p>
        </w:tc>
        <w:tc>
          <w:tcPr>
            <w:tcW w:w="839" w:type="pct"/>
            <w:vAlign w:val="center"/>
          </w:tcPr>
          <w:p>
            <w:pPr>
              <w:adjustRightInd w:val="0"/>
              <w:snapToGrid w:val="0"/>
              <w:ind w:left="-88" w:leftChars="-42"/>
              <w:jc w:val="center"/>
              <w:rPr>
                <w:rFonts w:hint="eastAsia" w:ascii="宋体"/>
                <w:color w:val="000000"/>
                <w:sz w:val="24"/>
                <w:szCs w:val="24"/>
                <w:highlight w:val="none"/>
                <w:lang w:val="en-US" w:eastAsia="zh-CN"/>
              </w:rPr>
            </w:pPr>
            <w:r>
              <w:rPr>
                <w:rFonts w:hint="eastAsia" w:ascii="宋体"/>
                <w:color w:val="000000"/>
                <w:sz w:val="24"/>
                <w:szCs w:val="24"/>
                <w:highlight w:val="none"/>
                <w:lang w:val="en-US" w:eastAsia="zh-CN"/>
              </w:rPr>
              <w:t>1</w:t>
            </w:r>
          </w:p>
        </w:tc>
        <w:tc>
          <w:tcPr>
            <w:tcW w:w="839" w:type="pct"/>
            <w:vAlign w:val="center"/>
          </w:tcPr>
          <w:p>
            <w:pPr>
              <w:adjustRightInd w:val="0"/>
              <w:snapToGrid w:val="0"/>
              <w:ind w:left="-88" w:leftChars="-42"/>
              <w:jc w:val="center"/>
              <w:rPr>
                <w:rFonts w:hint="eastAsia" w:ascii="宋体"/>
                <w:color w:val="000000"/>
                <w:sz w:val="24"/>
                <w:szCs w:val="24"/>
                <w:highlight w:val="none"/>
              </w:rPr>
            </w:pPr>
            <w:r>
              <w:rPr>
                <w:rFonts w:hint="eastAsia" w:ascii="宋体"/>
                <w:color w:val="000000"/>
                <w:sz w:val="24"/>
                <w:szCs w:val="24"/>
                <w:highlight w:val="none"/>
                <w:lang w:val="en-US" w:eastAsia="zh-CN"/>
              </w:rPr>
              <w:t>项</w:t>
            </w:r>
          </w:p>
        </w:tc>
        <w:tc>
          <w:tcPr>
            <w:tcW w:w="839" w:type="pct"/>
            <w:vAlign w:val="center"/>
          </w:tcPr>
          <w:p>
            <w:pPr>
              <w:adjustRightInd w:val="0"/>
              <w:snapToGrid w:val="0"/>
              <w:ind w:left="-88" w:leftChars="-42"/>
              <w:jc w:val="center"/>
              <w:rPr>
                <w:rFonts w:hint="eastAsia" w:ascii="宋体"/>
                <w:color w:val="000000"/>
                <w:sz w:val="24"/>
                <w:szCs w:val="24"/>
                <w:highlight w:val="none"/>
              </w:rPr>
            </w:pPr>
          </w:p>
        </w:tc>
      </w:tr>
    </w:tbl>
    <w:p>
      <w:pPr>
        <w:spacing w:line="360" w:lineRule="auto"/>
        <w:ind w:left="723" w:hanging="723" w:hangingChars="300"/>
        <w:rPr>
          <w:rFonts w:hint="eastAsia" w:ascii="宋体" w:hAnsi="宋体" w:eastAsia="宋体" w:cs="Times New Roman"/>
          <w:b/>
          <w:sz w:val="24"/>
          <w:szCs w:val="24"/>
          <w:highlight w:val="none"/>
          <w:lang w:val="zh-CN"/>
        </w:rPr>
      </w:pPr>
      <w:r>
        <w:rPr>
          <w:rFonts w:hint="eastAsia" w:ascii="宋体" w:hAnsi="宋体" w:eastAsia="宋体" w:cs="Times New Roman"/>
          <w:b/>
          <w:sz w:val="24"/>
          <w:szCs w:val="24"/>
          <w:highlight w:val="none"/>
          <w:lang w:val="zh-CN"/>
        </w:rPr>
        <w:t>说明：</w:t>
      </w:r>
      <w:bookmarkEnd w:id="75"/>
      <w:r>
        <w:rPr>
          <w:rFonts w:hint="eastAsia" w:ascii="宋体" w:hAnsi="宋体" w:eastAsia="宋体" w:cs="Times New Roman"/>
          <w:b/>
          <w:sz w:val="24"/>
          <w:szCs w:val="24"/>
          <w:highlight w:val="none"/>
          <w:lang w:val="en-US" w:eastAsia="zh-CN"/>
        </w:rPr>
        <w:t>1</w:t>
      </w:r>
      <w:r>
        <w:rPr>
          <w:rFonts w:hint="eastAsia" w:ascii="宋体" w:hAnsi="宋体" w:eastAsia="宋体" w:cs="Times New Roman"/>
          <w:b/>
          <w:sz w:val="24"/>
          <w:szCs w:val="24"/>
          <w:highlight w:val="none"/>
          <w:lang w:val="zh-CN"/>
        </w:rPr>
        <w:t>、具体技术需求详见后续“三、技术要求”小结。</w:t>
      </w:r>
    </w:p>
    <w:p>
      <w:pPr>
        <w:keepNext w:val="0"/>
        <w:keepLines w:val="0"/>
        <w:pageBreakBefore w:val="0"/>
        <w:widowControl w:val="0"/>
        <w:kinsoku/>
        <w:wordWrap/>
        <w:overflowPunct/>
        <w:topLinePunct w:val="0"/>
        <w:autoSpaceDE/>
        <w:autoSpaceDN/>
        <w:bidi w:val="0"/>
        <w:adjustRightInd/>
        <w:snapToGrid/>
        <w:spacing w:line="360" w:lineRule="auto"/>
        <w:ind w:left="0" w:firstLine="723" w:firstLineChars="300"/>
        <w:textAlignment w:val="auto"/>
        <w:rPr>
          <w:rFonts w:hint="eastAsia" w:ascii="宋体" w:hAnsi="宋体" w:eastAsia="宋体" w:cs="Times New Roman"/>
          <w:b/>
          <w:sz w:val="24"/>
          <w:szCs w:val="24"/>
          <w:highlight w:val="none"/>
          <w:lang w:val="zh-CN"/>
        </w:rPr>
      </w:pPr>
      <w:r>
        <w:rPr>
          <w:rFonts w:hint="eastAsia" w:ascii="宋体" w:hAnsi="宋体" w:eastAsia="宋体" w:cs="Times New Roman"/>
          <w:b/>
          <w:sz w:val="24"/>
          <w:szCs w:val="24"/>
          <w:highlight w:val="none"/>
          <w:lang w:val="zh-CN"/>
        </w:rPr>
        <w:t>2、1-10项为财政性资金购买，11-1</w:t>
      </w:r>
      <w:r>
        <w:rPr>
          <w:rFonts w:hint="eastAsia" w:ascii="宋体" w:hAnsi="宋体" w:eastAsia="宋体" w:cs="Times New Roman"/>
          <w:b/>
          <w:sz w:val="24"/>
          <w:szCs w:val="24"/>
          <w:highlight w:val="none"/>
          <w:lang w:val="en-US" w:eastAsia="zh-CN"/>
        </w:rPr>
        <w:t>6</w:t>
      </w:r>
      <w:r>
        <w:rPr>
          <w:rFonts w:hint="eastAsia" w:ascii="宋体" w:hAnsi="宋体" w:eastAsia="宋体" w:cs="Times New Roman"/>
          <w:b/>
          <w:sz w:val="24"/>
          <w:szCs w:val="24"/>
          <w:highlight w:val="none"/>
          <w:lang w:val="zh-CN"/>
        </w:rPr>
        <w:t>项为商品和服务支出。根据学校财务规定，1-10项目总计金额不得超出16.66万元且必须开具增值税发票。</w:t>
      </w:r>
    </w:p>
    <w:bookmarkEnd w:id="73"/>
    <w:bookmarkEnd w:id="74"/>
    <w:p>
      <w:pPr>
        <w:widowControl/>
        <w:jc w:val="left"/>
        <w:rPr>
          <w:rFonts w:eastAsia="黑体" w:cs="Times New Roman" w:asciiTheme="majorEastAsia" w:hAnsiTheme="majorEastAsia"/>
          <w:sz w:val="30"/>
          <w:szCs w:val="30"/>
          <w:highlight w:val="none"/>
          <w:lang w:val="zh-CN"/>
        </w:rPr>
      </w:pPr>
      <w:bookmarkStart w:id="76" w:name="_Toc511894511"/>
      <w:bookmarkStart w:id="77" w:name="_Toc2782581"/>
      <w:bookmarkStart w:id="78" w:name="_Toc494561955"/>
      <w:bookmarkStart w:id="79" w:name="_Toc511889433"/>
      <w:r>
        <w:rPr>
          <w:rFonts w:cs="Times New Roman" w:asciiTheme="majorEastAsia" w:hAnsiTheme="majorEastAsia"/>
          <w:bCs/>
          <w:szCs w:val="30"/>
          <w:highlight w:val="none"/>
          <w:lang w:val="zh-CN"/>
        </w:rPr>
        <w:br w:type="page"/>
      </w:r>
    </w:p>
    <w:p>
      <w:pPr>
        <w:pStyle w:val="4"/>
        <w:jc w:val="center"/>
        <w:rPr>
          <w:sz w:val="32"/>
          <w:highlight w:val="none"/>
        </w:rPr>
      </w:pPr>
      <w:bookmarkStart w:id="80" w:name="_Toc38457839"/>
      <w:bookmarkStart w:id="81" w:name="_Toc65158798"/>
      <w:r>
        <w:rPr>
          <w:rFonts w:hint="eastAsia"/>
          <w:sz w:val="32"/>
          <w:highlight w:val="none"/>
          <w:lang w:eastAsia="zh-CN"/>
        </w:rPr>
        <w:t>技术</w:t>
      </w:r>
      <w:r>
        <w:rPr>
          <w:rFonts w:hint="eastAsia"/>
          <w:sz w:val="32"/>
          <w:highlight w:val="none"/>
        </w:rPr>
        <w:t>要求</w:t>
      </w:r>
      <w:bookmarkEnd w:id="76"/>
      <w:bookmarkEnd w:id="77"/>
      <w:bookmarkEnd w:id="78"/>
      <w:bookmarkEnd w:id="79"/>
      <w:bookmarkEnd w:id="80"/>
      <w:bookmarkEnd w:id="81"/>
    </w:p>
    <w:p>
      <w:pPr>
        <w:numPr>
          <w:ilvl w:val="0"/>
          <w:numId w:val="0"/>
        </w:num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1.技术要求</w:t>
      </w:r>
    </w:p>
    <w:p>
      <w:pPr>
        <w:spacing w:line="360" w:lineRule="auto"/>
        <w:rPr>
          <w:rFonts w:ascii="宋体" w:hAnsi="宋体" w:eastAsia="宋体" w:cs="宋体"/>
          <w:sz w:val="24"/>
          <w:szCs w:val="24"/>
          <w:highlight w:val="none"/>
        </w:rPr>
      </w:pPr>
    </w:p>
    <w:p>
      <w:pPr>
        <w:numPr>
          <w:ilvl w:val="0"/>
          <w:numId w:val="4"/>
        </w:numPr>
        <w:spacing w:line="360" w:lineRule="auto"/>
        <w:rPr>
          <w:rFonts w:ascii="宋体" w:hAnsi="宋体" w:eastAsia="宋体" w:cs="宋体"/>
          <w:b/>
          <w:bCs/>
          <w:sz w:val="24"/>
          <w:szCs w:val="24"/>
          <w:highlight w:val="none"/>
        </w:rPr>
      </w:pPr>
      <w:r>
        <w:rPr>
          <w:rFonts w:ascii="宋体" w:hAnsi="宋体" w:eastAsia="宋体" w:cs="宋体"/>
          <w:b/>
          <w:bCs/>
          <w:sz w:val="24"/>
          <w:szCs w:val="24"/>
          <w:highlight w:val="none"/>
        </w:rPr>
        <w:t>视频监控设备</w:t>
      </w:r>
      <w:r>
        <w:rPr>
          <w:rFonts w:hint="eastAsia" w:ascii="宋体" w:hAnsi="宋体" w:eastAsia="宋体" w:cs="宋体"/>
          <w:b/>
          <w:bCs/>
          <w:sz w:val="24"/>
          <w:szCs w:val="24"/>
          <w:highlight w:val="none"/>
          <w:lang w:eastAsia="zh-CN"/>
        </w:rPr>
        <w:t>（一）</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支持滤光片切换功能，摄像机可在彩色/黑白模式下自动切换滤光片</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支持五码流技术，五码流可同时输出，主码流最大1920x1080@30fps，第二码流最大704x480@30fps，第三码流最大1920x1080 @30fps，第四码流最大704x480@30fps，第五码流最大1920x1080@30fps</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支持帧率动态控制功能，当触发报警时，视频录像帧率应自动调整至设定值</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支持20行字符叠加，字体大小、颜色、对齐方式可设</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支持IP地址搜索功能</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在IE浏览器下，具有认证模式设置选项，且RTSP认证具有basic和digest两种设置选项</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具有黑白名单功能，黑白名单最多可添加100个IP地址</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支持场景参数设置，可设置3套场景参数，不同场景参数可按时间自动切换</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摄像机具有非法访问、网络断开、IP冲突报警设置选项</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具有音频异常侦测、人脸检测、人脸增强、场景变更侦测等功能</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ascii="宋体" w:hAnsi="宋体" w:eastAsia="宋体" w:cs="宋体"/>
          <w:sz w:val="24"/>
          <w:szCs w:val="24"/>
          <w:highlight w:val="none"/>
        </w:rPr>
        <w:t>摄像机能够在-45~70摄氏度，湿度小于93%环境下稳定工作</w:t>
      </w:r>
      <w:r>
        <w:rPr>
          <w:rFonts w:hint="eastAsia" w:ascii="宋体" w:hAnsi="宋体" w:eastAsia="宋体" w:cs="宋体"/>
          <w:sz w:val="24"/>
          <w:szCs w:val="24"/>
          <w:highlight w:val="none"/>
        </w:rPr>
        <w:t>；</w:t>
      </w:r>
    </w:p>
    <w:p>
      <w:pPr>
        <w:numPr>
          <w:ilvl w:val="0"/>
          <w:numId w:val="5"/>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具有1路报警输入接口、1路报警输出接口、1路音频输入接口、1路音频输出接口、1个SD卡插槽</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5"/>
        </w:num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为了保证系统整体兼容稳定性，要求设备与监控平台为同一品牌</w:t>
      </w:r>
      <w:r>
        <w:rPr>
          <w:rFonts w:hint="eastAsia" w:ascii="宋体" w:hAnsi="宋体" w:eastAsia="宋体" w:cs="宋体"/>
          <w:sz w:val="24"/>
          <w:szCs w:val="24"/>
          <w:highlight w:val="none"/>
          <w:lang w:eastAsia="zh-CN"/>
        </w:rPr>
        <w:t>。</w:t>
      </w:r>
    </w:p>
    <w:p>
      <w:pPr>
        <w:spacing w:line="360" w:lineRule="auto"/>
        <w:rPr>
          <w:rFonts w:ascii="宋体" w:hAnsi="宋体" w:eastAsia="宋体" w:cs="宋体"/>
          <w:sz w:val="24"/>
          <w:szCs w:val="24"/>
          <w:highlight w:val="none"/>
        </w:rPr>
      </w:pPr>
    </w:p>
    <w:p>
      <w:pPr>
        <w:numPr>
          <w:ilvl w:val="0"/>
          <w:numId w:val="4"/>
        </w:numPr>
        <w:spacing w:line="360" w:lineRule="auto"/>
        <w:rPr>
          <w:rFonts w:ascii="宋体" w:hAnsi="宋体" w:eastAsia="宋体" w:cs="宋体"/>
          <w:b/>
          <w:bCs/>
          <w:sz w:val="24"/>
          <w:szCs w:val="24"/>
          <w:highlight w:val="none"/>
        </w:rPr>
      </w:pPr>
      <w:r>
        <w:rPr>
          <w:rFonts w:ascii="宋体" w:hAnsi="宋体" w:eastAsia="宋体" w:cs="宋体"/>
          <w:b/>
          <w:bCs/>
          <w:sz w:val="24"/>
          <w:szCs w:val="24"/>
          <w:highlight w:val="none"/>
        </w:rPr>
        <w:t>视频监控设备</w:t>
      </w:r>
      <w:r>
        <w:rPr>
          <w:rFonts w:hint="eastAsia" w:ascii="宋体" w:hAnsi="宋体" w:eastAsia="宋体" w:cs="宋体"/>
          <w:b/>
          <w:bCs/>
          <w:sz w:val="24"/>
          <w:szCs w:val="24"/>
          <w:highlight w:val="none"/>
          <w:lang w:eastAsia="zh-CN"/>
        </w:rPr>
        <w:t>（二）</w:t>
      </w:r>
    </w:p>
    <w:p>
      <w:pPr>
        <w:numPr>
          <w:ilvl w:val="0"/>
          <w:numId w:val="6"/>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支持水平手控速度最大为670°/S，云台定位精度为±0.1°</w:t>
      </w:r>
      <w:r>
        <w:rPr>
          <w:rFonts w:hint="eastAsia" w:ascii="宋体" w:hAnsi="宋体" w:eastAsia="宋体" w:cs="宋体"/>
          <w:sz w:val="24"/>
          <w:szCs w:val="24"/>
          <w:highlight w:val="none"/>
        </w:rPr>
        <w:t>；</w:t>
      </w:r>
    </w:p>
    <w:p>
      <w:pPr>
        <w:numPr>
          <w:ilvl w:val="0"/>
          <w:numId w:val="6"/>
        </w:numPr>
        <w:spacing w:line="360" w:lineRule="auto"/>
        <w:rPr>
          <w:rFonts w:ascii="宋体" w:hAnsi="宋体" w:eastAsia="宋体" w:cs="宋体"/>
          <w:sz w:val="24"/>
          <w:szCs w:val="24"/>
          <w:highlight w:val="none"/>
        </w:rPr>
      </w:pPr>
      <w:r>
        <w:rPr>
          <w:rFonts w:ascii="宋体" w:hAnsi="宋体" w:eastAsia="宋体" w:cs="宋体"/>
          <w:sz w:val="24"/>
          <w:szCs w:val="24"/>
          <w:highlight w:val="none"/>
        </w:rPr>
        <w:t>分辨率设置为1920×1080，帧率设置为60帧、码率设置为2Mbps，分辨力不小于1100TVL</w:t>
      </w:r>
      <w:r>
        <w:rPr>
          <w:rFonts w:hint="eastAsia" w:ascii="宋体" w:hAnsi="宋体" w:eastAsia="宋体" w:cs="宋体"/>
          <w:sz w:val="24"/>
          <w:szCs w:val="24"/>
          <w:highlight w:val="none"/>
        </w:rPr>
        <w:t>；</w:t>
      </w:r>
    </w:p>
    <w:p>
      <w:pPr>
        <w:numPr>
          <w:ilvl w:val="0"/>
          <w:numId w:val="6"/>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支持在线升级，系统软件升级过程中断电并重新启动后，可恢复到升级前的软件版本</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6"/>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智能分析行为如区域入侵、停车、越界入侵、人员聚集、进入区域、离开区域、快速移动、物品移除、物品遗留、徘徊联动云台、攀高检测、离岗检测、起身检测；设置为区域入侵、离开区域侦测、快速移动侦测时可以对人、车、自行车、电瓶车、摩托车、三轮车等进行检测。报警上传、上传FTP、发送邮件、联动录像、辅助输出等多种报警触发方式</w:t>
      </w:r>
      <w:r>
        <w:rPr>
          <w:rFonts w:hint="eastAsia" w:ascii="宋体" w:hAnsi="宋体" w:eastAsia="宋体" w:cs="宋体"/>
          <w:sz w:val="24"/>
          <w:szCs w:val="24"/>
          <w:highlight w:val="none"/>
        </w:rPr>
        <w:t>；</w:t>
      </w:r>
    </w:p>
    <w:p>
      <w:pPr>
        <w:numPr>
          <w:ilvl w:val="0"/>
          <w:numId w:val="6"/>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数据统计，信息如下：设备的出厂至今时间；上电运行时间；高于40度环境下运行时间；低于-20度环境下运行时间；ICR切换次数、水平、垂直旋转圈数，红外灯启用时间；平均用户接入数统计（提供公安部检验报告复印件加盖原厂鲜章）</w:t>
      </w:r>
    </w:p>
    <w:p>
      <w:pPr>
        <w:numPr>
          <w:ilvl w:val="0"/>
          <w:numId w:val="6"/>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hint="eastAsia" w:ascii="宋体" w:hAnsi="宋体" w:eastAsia="宋体" w:cs="宋体"/>
          <w:sz w:val="24"/>
          <w:szCs w:val="24"/>
          <w:highlight w:val="none"/>
        </w:rPr>
        <w:t>绊线入侵识别准确率检验：样机可对监视画面中的行人、机动车及非机动车进行捕获在天气朗无雾的条件下进行测试，日间测试时的环境光照度不低于2001x，夜间测试时辅助照明光照度不高于501x单个行人日间和夜间各测试100人次，行人捕获次数均不少于99人次机动车日间和夜间各测试100次机动车捕获次数均不少于99次:非机动车日间和夜间各测试100次，非机动车捕获次数均不少于</w:t>
      </w:r>
      <w:r>
        <w:rPr>
          <w:rFonts w:hint="eastAsia"/>
          <w:highlight w:val="none"/>
        </w:rPr>
        <w:t>99次</w:t>
      </w:r>
      <w:r>
        <w:rPr>
          <w:rFonts w:ascii="宋体" w:hAnsi="宋体" w:eastAsia="宋体" w:cs="宋体"/>
          <w:sz w:val="24"/>
          <w:szCs w:val="24"/>
          <w:highlight w:val="none"/>
        </w:rPr>
        <w:t>（提供公安部检验报告复印件加盖原厂鲜章）</w:t>
      </w:r>
    </w:p>
    <w:p>
      <w:pPr>
        <w:numPr>
          <w:ilvl w:val="0"/>
          <w:numId w:val="6"/>
        </w:num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为了保证系统整体兼容稳定性，要求设备与监控平台为同一品牌</w:t>
      </w:r>
      <w:r>
        <w:rPr>
          <w:rFonts w:hint="eastAsia" w:ascii="宋体" w:hAnsi="宋体" w:eastAsia="宋体" w:cs="宋体"/>
          <w:sz w:val="24"/>
          <w:szCs w:val="24"/>
          <w:highlight w:val="none"/>
          <w:lang w:eastAsia="zh-CN"/>
        </w:rPr>
        <w:t>。</w:t>
      </w:r>
    </w:p>
    <w:p>
      <w:pPr>
        <w:spacing w:line="360" w:lineRule="auto"/>
        <w:rPr>
          <w:rFonts w:ascii="宋体" w:hAnsi="宋体" w:eastAsia="宋体" w:cs="宋体"/>
          <w:sz w:val="24"/>
          <w:szCs w:val="24"/>
          <w:highlight w:val="none"/>
        </w:rPr>
      </w:pPr>
    </w:p>
    <w:p>
      <w:pPr>
        <w:numPr>
          <w:ilvl w:val="0"/>
          <w:numId w:val="4"/>
        </w:numPr>
        <w:spacing w:line="360" w:lineRule="auto"/>
        <w:rPr>
          <w:rFonts w:ascii="宋体" w:hAnsi="宋体" w:eastAsia="宋体" w:cs="宋体"/>
          <w:b/>
          <w:bCs/>
          <w:sz w:val="24"/>
          <w:szCs w:val="24"/>
          <w:highlight w:val="none"/>
        </w:rPr>
      </w:pPr>
      <w:r>
        <w:rPr>
          <w:rFonts w:ascii="宋体" w:hAnsi="宋体" w:eastAsia="宋体" w:cs="宋体"/>
          <w:b/>
          <w:bCs/>
          <w:sz w:val="24"/>
          <w:szCs w:val="24"/>
          <w:highlight w:val="none"/>
        </w:rPr>
        <w:t>监控管理平台</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标配8G内存，最大可扩展至64G；具有128G的SSD</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多址模式下支持接入、存储、转发各800Mbps；转发和存储性能相互独立；绑定模式下支持接入、存储、转发各1600Mbps；转发和存储性能相互独立；支持管理5000路视频监控</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支持发送RTSP、RTMP协议实时码流,支持进行flv、avi、mp4格式的视频预览</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支持HLS取视频流</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支持SATA、SAS磁盘，支持SSD，支持磁盘混插，支持2.5/3.5英寸磁盘,支持磁盘负载均衡工作</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支持存储配额设置，淡忘存储，将对指定天数的录像进行抽帧存储，支持小文件存储</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可根据网口量配置相应数量的不同网段IP地址，此外支持负载均衡、容错模式、链路聚合等模式</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支持以浮动窗方式，实时展示CPU、网络和报警状态</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支持批量修改设备的密码，IP及所属组织</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支持视频抢占，支持视频分享</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支持零通道编码预览；支持自动切换主辅码流</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支持回放进度条上悬浮快速预览</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支持多路同步回放、异步回放，支持全帧倒放功能；支持按文件和时间下载录像及查看下载管理；支持最大36路分割，支持自定义分割</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支持以语音和TTS这2种语音播报方式报警</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支持三维地图</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支持可视域，显示地图中球机的可视范围、距离</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支持搜索电子地图上划线周边设定范围内的摄像机</w:t>
      </w:r>
      <w:r>
        <w:rPr>
          <w:rFonts w:hint="eastAsia" w:ascii="宋体" w:hAnsi="宋体" w:eastAsia="宋体" w:cs="宋体"/>
          <w:sz w:val="24"/>
          <w:szCs w:val="24"/>
          <w:highlight w:val="none"/>
        </w:rPr>
        <w:t>；</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支持视频上墙轮巡计划，可根据时间点或时间间隔进行自动切换；支持上墙回显，上墙分割窗口显示视频通道的当前画面，仅显示一帧画面</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支持定时开启/修改轮巡计划，并导入、导出数据</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支持密码复杂的等级设置，持账号锁定机制，启用后可设置账户非法登录次数，以及账户锁定时长</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支持N+M集群</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 xml:space="preserve">支持查看服务器运行状态、设备运行状态、用户状态； </w:t>
      </w:r>
    </w:p>
    <w:p>
      <w:pPr>
        <w:numPr>
          <w:ilvl w:val="0"/>
          <w:numId w:val="7"/>
        </w:numPr>
        <w:spacing w:line="360" w:lineRule="auto"/>
        <w:rPr>
          <w:rFonts w:ascii="宋体" w:hAnsi="宋体" w:eastAsia="宋体" w:cs="宋体"/>
          <w:sz w:val="24"/>
          <w:szCs w:val="24"/>
          <w:highlight w:val="none"/>
        </w:rPr>
      </w:pPr>
      <w:r>
        <w:rPr>
          <w:rFonts w:ascii="宋体" w:hAnsi="宋体" w:eastAsia="宋体" w:cs="宋体"/>
          <w:sz w:val="24"/>
          <w:szCs w:val="24"/>
          <w:highlight w:val="none"/>
        </w:rPr>
        <w:t xml:space="preserve">支持查看服务器报警日志、设备报警日志、管理端日志、客户端日志、校时日志、中心存储日志、视频诊断日志，并支持一键导出； </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支持对平台名称、LOGO图片、LOGO小图片、登录背景、登录背景色、管理员端名称自定义</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numPr>
          <w:ilvl w:val="0"/>
          <w:numId w:val="7"/>
        </w:numPr>
        <w:spacing w:line="360" w:lineRule="auto"/>
        <w:rPr>
          <w:rFonts w:ascii="宋体" w:hAnsi="宋体" w:eastAsia="宋体" w:cs="宋体"/>
          <w:sz w:val="24"/>
          <w:szCs w:val="24"/>
          <w:highlight w:val="none"/>
        </w:rPr>
      </w:pPr>
      <w:r>
        <w:rPr>
          <w:rFonts w:hint="eastAsia" w:ascii="宋体" w:hAnsi="宋体" w:eastAsia="宋体" w:cs="宋体"/>
          <w:b/>
          <w:bCs/>
          <w:sz w:val="24"/>
          <w:szCs w:val="24"/>
          <w:highlight w:val="none"/>
        </w:rPr>
        <w:t>▲</w:t>
      </w:r>
      <w:r>
        <w:rPr>
          <w:rFonts w:ascii="宋体" w:hAnsi="宋体" w:eastAsia="宋体" w:cs="宋体"/>
          <w:sz w:val="24"/>
          <w:szCs w:val="24"/>
          <w:highlight w:val="none"/>
        </w:rPr>
        <w:t>支持安全检测，支持白名单设置；支持数据迁移；支持初始用户名密码强制修改</w:t>
      </w:r>
      <w:r>
        <w:rPr>
          <w:rFonts w:hint="eastAsia" w:ascii="宋体" w:hAnsi="宋体" w:eastAsia="宋体" w:cs="宋体"/>
          <w:sz w:val="24"/>
          <w:szCs w:val="24"/>
          <w:highlight w:val="none"/>
        </w:rPr>
        <w:t>。</w:t>
      </w:r>
      <w:r>
        <w:rPr>
          <w:rFonts w:ascii="宋体" w:hAnsi="宋体" w:eastAsia="宋体" w:cs="宋体"/>
          <w:sz w:val="24"/>
          <w:szCs w:val="24"/>
          <w:highlight w:val="none"/>
        </w:rPr>
        <w:t>（提供公安部检验报告复印件加盖原厂鲜章）</w:t>
      </w:r>
    </w:p>
    <w:p>
      <w:pPr>
        <w:spacing w:line="360" w:lineRule="auto"/>
        <w:rPr>
          <w:rFonts w:ascii="宋体" w:hAnsi="宋体" w:eastAsia="宋体" w:cs="宋体"/>
          <w:sz w:val="24"/>
          <w:szCs w:val="24"/>
          <w:highlight w:val="none"/>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硬盘</w:t>
      </w:r>
    </w:p>
    <w:p>
      <w:pPr>
        <w:numPr>
          <w:ilvl w:val="0"/>
          <w:numId w:val="8"/>
        </w:numPr>
        <w:spacing w:line="360" w:lineRule="auto"/>
        <w:ind w:left="425" w:leftChars="0" w:hanging="425" w:firstLineChars="0"/>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6TB存储硬盘</w:t>
      </w:r>
    </w:p>
    <w:p>
      <w:pPr>
        <w:numPr>
          <w:ilvl w:val="0"/>
          <w:numId w:val="0"/>
        </w:numPr>
        <w:spacing w:line="360" w:lineRule="auto"/>
        <w:ind w:leftChars="0"/>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立杆</w:t>
      </w:r>
    </w:p>
    <w:p>
      <w:pPr>
        <w:widowControl w:val="0"/>
        <w:numPr>
          <w:ilvl w:val="0"/>
          <w:numId w:val="9"/>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国产定制</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交换机</w:t>
      </w:r>
      <w:r>
        <w:rPr>
          <w:rFonts w:hint="eastAsia" w:ascii="宋体" w:hAnsi="宋体" w:eastAsia="宋体" w:cs="宋体"/>
          <w:b/>
          <w:bCs/>
          <w:sz w:val="24"/>
          <w:szCs w:val="24"/>
          <w:highlight w:val="none"/>
          <w:lang w:val="en-US" w:eastAsia="zh-CN"/>
        </w:rPr>
        <w:t>（5口）</w:t>
      </w:r>
    </w:p>
    <w:p>
      <w:pPr>
        <w:widowControl w:val="0"/>
        <w:numPr>
          <w:ilvl w:val="0"/>
          <w:numId w:val="10"/>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5口千兆交换机</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交换机</w:t>
      </w:r>
      <w:r>
        <w:rPr>
          <w:rFonts w:hint="eastAsia" w:ascii="宋体" w:hAnsi="宋体" w:eastAsia="宋体" w:cs="宋体"/>
          <w:b/>
          <w:bCs/>
          <w:sz w:val="24"/>
          <w:szCs w:val="24"/>
          <w:highlight w:val="none"/>
          <w:lang w:val="en-US" w:eastAsia="zh-CN"/>
        </w:rPr>
        <w:t>（24口）</w:t>
      </w:r>
    </w:p>
    <w:p>
      <w:pPr>
        <w:widowControl w:val="0"/>
        <w:numPr>
          <w:ilvl w:val="0"/>
          <w:numId w:val="11"/>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24口千兆交换机</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监控电源</w:t>
      </w:r>
    </w:p>
    <w:p>
      <w:pPr>
        <w:widowControl w:val="0"/>
        <w:numPr>
          <w:ilvl w:val="0"/>
          <w:numId w:val="12"/>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12V摄像头供电</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光纤收发器</w:t>
      </w:r>
    </w:p>
    <w:p>
      <w:pPr>
        <w:widowControl w:val="0"/>
        <w:numPr>
          <w:ilvl w:val="0"/>
          <w:numId w:val="13"/>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10MB/100MB/1000MB</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室外监控防水箱</w:t>
      </w:r>
    </w:p>
    <w:p>
      <w:pPr>
        <w:widowControl w:val="0"/>
        <w:numPr>
          <w:ilvl w:val="0"/>
          <w:numId w:val="14"/>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300*400*180mm</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光纤</w:t>
      </w:r>
    </w:p>
    <w:p>
      <w:pPr>
        <w:widowControl w:val="0"/>
        <w:numPr>
          <w:ilvl w:val="0"/>
          <w:numId w:val="15"/>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四芯光纤</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六类网线</w:t>
      </w:r>
    </w:p>
    <w:p>
      <w:pPr>
        <w:widowControl w:val="0"/>
        <w:numPr>
          <w:ilvl w:val="0"/>
          <w:numId w:val="16"/>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六类</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电源线</w:t>
      </w:r>
    </w:p>
    <w:p>
      <w:pPr>
        <w:widowControl w:val="0"/>
        <w:numPr>
          <w:ilvl w:val="0"/>
          <w:numId w:val="17"/>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2*1.5</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室外电源线</w:t>
      </w:r>
    </w:p>
    <w:p>
      <w:pPr>
        <w:widowControl w:val="0"/>
        <w:numPr>
          <w:ilvl w:val="0"/>
          <w:numId w:val="18"/>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2*2.0</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设施安装施工</w:t>
      </w:r>
    </w:p>
    <w:p>
      <w:pPr>
        <w:widowControl w:val="0"/>
        <w:numPr>
          <w:ilvl w:val="0"/>
          <w:numId w:val="19"/>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设施安装施工</w:t>
      </w:r>
    </w:p>
    <w:p>
      <w:pPr>
        <w:widowControl w:val="0"/>
        <w:numPr>
          <w:ilvl w:val="0"/>
          <w:numId w:val="0"/>
        </w:numPr>
        <w:spacing w:line="360" w:lineRule="auto"/>
        <w:jc w:val="both"/>
        <w:rPr>
          <w:rFonts w:hint="default" w:ascii="宋体" w:hAnsi="宋体" w:eastAsia="宋体" w:cs="宋体"/>
          <w:b/>
          <w:bCs/>
          <w:sz w:val="24"/>
          <w:szCs w:val="24"/>
          <w:highlight w:val="none"/>
          <w:lang w:val="en-US" w:eastAsia="zh-CN"/>
        </w:rPr>
      </w:pPr>
    </w:p>
    <w:p>
      <w:pPr>
        <w:numPr>
          <w:ilvl w:val="0"/>
          <w:numId w:val="4"/>
        </w:numPr>
        <w:spacing w:line="360" w:lineRule="auto"/>
        <w:ind w:left="425" w:leftChars="0" w:hanging="425" w:firstLineChars="0"/>
        <w:rPr>
          <w:rFonts w:hint="default" w:ascii="宋体" w:hAnsi="宋体" w:eastAsia="宋体" w:cs="宋体"/>
          <w:b/>
          <w:bCs/>
          <w:sz w:val="24"/>
          <w:szCs w:val="24"/>
          <w:highlight w:val="none"/>
          <w:lang w:val="en-US" w:eastAsia="zh-CN"/>
        </w:rPr>
      </w:pPr>
      <w:r>
        <w:rPr>
          <w:rFonts w:hint="default" w:ascii="宋体" w:hAnsi="宋体" w:eastAsia="宋体" w:cs="宋体"/>
          <w:b/>
          <w:bCs/>
          <w:sz w:val="24"/>
          <w:szCs w:val="24"/>
          <w:highlight w:val="none"/>
          <w:lang w:val="en-US" w:eastAsia="zh-CN"/>
        </w:rPr>
        <w:t>旧的故障摄像机头拆装及维修</w:t>
      </w:r>
    </w:p>
    <w:p>
      <w:pPr>
        <w:widowControl w:val="0"/>
        <w:numPr>
          <w:ilvl w:val="0"/>
          <w:numId w:val="20"/>
        </w:numPr>
        <w:spacing w:line="360" w:lineRule="auto"/>
        <w:ind w:left="425" w:leftChars="0" w:hanging="425" w:firstLineChars="0"/>
        <w:jc w:val="both"/>
        <w:rPr>
          <w:rFonts w:hint="default" w:ascii="宋体" w:hAnsi="宋体" w:eastAsia="宋体" w:cs="宋体"/>
          <w:b w:val="0"/>
          <w:bCs w:val="0"/>
          <w:sz w:val="24"/>
          <w:szCs w:val="24"/>
          <w:highlight w:val="none"/>
          <w:lang w:val="en-US" w:eastAsia="zh-CN"/>
        </w:rPr>
      </w:pPr>
      <w:r>
        <w:rPr>
          <w:rFonts w:hint="default" w:ascii="宋体" w:hAnsi="宋体" w:eastAsia="宋体" w:cs="宋体"/>
          <w:b w:val="0"/>
          <w:bCs w:val="0"/>
          <w:sz w:val="24"/>
          <w:szCs w:val="24"/>
          <w:highlight w:val="none"/>
          <w:lang w:val="en-US" w:eastAsia="zh-CN"/>
        </w:rPr>
        <w:t>旧的故障摄像机头拆装及维修</w:t>
      </w:r>
    </w:p>
    <w:p>
      <w:pPr>
        <w:pStyle w:val="12"/>
        <w:ind w:left="0" w:leftChars="0" w:firstLine="0" w:firstLineChars="0"/>
        <w:jc w:val="center"/>
        <w:rPr>
          <w:rFonts w:hint="eastAsia" w:ascii="宋体" w:hAnsi="宋体" w:eastAsia="宋体" w:cs="宋体"/>
          <w:b/>
          <w:bCs/>
          <w:sz w:val="24"/>
          <w:szCs w:val="24"/>
          <w:highlight w:val="none"/>
          <w:lang w:val="en-US" w:eastAsia="zh-CN"/>
        </w:rPr>
      </w:pPr>
    </w:p>
    <w:p>
      <w:pPr>
        <w:pStyle w:val="12"/>
        <w:ind w:left="0" w:leftChars="0" w:firstLine="0" w:firstLineChars="0"/>
        <w:jc w:val="center"/>
        <w:rPr>
          <w:rFonts w:hint="eastAsia" w:ascii="宋体" w:hAnsi="宋体" w:eastAsia="宋体" w:cs="宋体"/>
          <w:color w:val="000000"/>
          <w:sz w:val="24"/>
          <w:szCs w:val="24"/>
          <w:highlight w:val="none"/>
          <w:lang w:eastAsia="zh-CN"/>
        </w:rPr>
      </w:pPr>
      <w:r>
        <w:rPr>
          <w:rFonts w:hint="eastAsia" w:ascii="宋体" w:hAnsi="宋体" w:eastAsia="宋体" w:cs="宋体"/>
          <w:b/>
          <w:bCs/>
          <w:sz w:val="24"/>
          <w:szCs w:val="24"/>
          <w:highlight w:val="none"/>
          <w:lang w:val="en-US" w:eastAsia="zh-CN"/>
        </w:rPr>
        <w:t>注：以上技术要求中加注“</w:t>
      </w:r>
      <w:r>
        <w:rPr>
          <w:rFonts w:ascii="Times New Roman" w:hAnsi="Times New Roman" w:cs="Times New Roman"/>
          <w:color w:val="auto"/>
          <w:kern w:val="1"/>
          <w:szCs w:val="21"/>
          <w:highlight w:val="none"/>
          <w:shd w:val="clear" w:color="auto" w:fill="FFFFFF"/>
        </w:rPr>
        <w:t>▲</w:t>
      </w:r>
      <w:r>
        <w:rPr>
          <w:rFonts w:hint="eastAsia" w:ascii="宋体" w:hAnsi="宋体" w:eastAsia="宋体" w:cs="宋体"/>
          <w:b/>
          <w:bCs/>
          <w:sz w:val="24"/>
          <w:szCs w:val="24"/>
          <w:highlight w:val="none"/>
          <w:lang w:val="en-US" w:eastAsia="zh-CN"/>
        </w:rPr>
        <w:t>”号标识的为重要技术参数，负偏离时作为评分因素考量。</w:t>
      </w:r>
    </w:p>
    <w:p>
      <w:pPr>
        <w:widowControl w:val="0"/>
        <w:numPr>
          <w:ilvl w:val="0"/>
          <w:numId w:val="0"/>
        </w:numPr>
        <w:spacing w:line="360" w:lineRule="auto"/>
        <w:jc w:val="center"/>
        <w:rPr>
          <w:rFonts w:hint="default" w:ascii="宋体" w:hAnsi="宋体" w:eastAsia="宋体" w:cs="宋体"/>
          <w:b/>
          <w:bCs/>
          <w:sz w:val="24"/>
          <w:szCs w:val="24"/>
          <w:highlight w:val="none"/>
          <w:lang w:val="en-US" w:eastAsia="zh-CN"/>
        </w:rPr>
      </w:pPr>
    </w:p>
    <w:p>
      <w:pPr>
        <w:widowControl/>
        <w:jc w:val="left"/>
        <w:rPr>
          <w:rFonts w:eastAsia="黑体" w:cs="Times New Roman" w:asciiTheme="majorEastAsia" w:hAnsiTheme="majorEastAsia"/>
          <w:sz w:val="30"/>
          <w:szCs w:val="30"/>
          <w:highlight w:val="none"/>
          <w:lang w:val="zh-CN"/>
        </w:rPr>
      </w:pPr>
      <w:bookmarkStart w:id="82" w:name="_Toc494561956"/>
      <w:bookmarkStart w:id="83" w:name="_Toc511889434"/>
      <w:bookmarkStart w:id="84" w:name="_Toc2782582"/>
      <w:bookmarkStart w:id="85" w:name="_Toc511894512"/>
      <w:r>
        <w:rPr>
          <w:rFonts w:cs="Times New Roman" w:asciiTheme="majorEastAsia" w:hAnsiTheme="majorEastAsia"/>
          <w:bCs/>
          <w:szCs w:val="30"/>
          <w:highlight w:val="none"/>
          <w:lang w:val="zh-CN"/>
        </w:rPr>
        <w:br w:type="page"/>
      </w:r>
    </w:p>
    <w:p>
      <w:pPr>
        <w:pStyle w:val="4"/>
        <w:jc w:val="center"/>
        <w:rPr>
          <w:sz w:val="32"/>
          <w:highlight w:val="none"/>
        </w:rPr>
      </w:pPr>
      <w:bookmarkStart w:id="86" w:name="_Toc38457840"/>
      <w:bookmarkStart w:id="87" w:name="_Toc65158799"/>
      <w:r>
        <w:rPr>
          <w:rFonts w:hint="eastAsia"/>
          <w:sz w:val="32"/>
          <w:highlight w:val="none"/>
        </w:rPr>
        <w:t>其他商务要求</w:t>
      </w:r>
      <w:bookmarkEnd w:id="82"/>
      <w:bookmarkEnd w:id="83"/>
      <w:bookmarkEnd w:id="84"/>
      <w:bookmarkEnd w:id="85"/>
      <w:bookmarkEnd w:id="86"/>
      <w:bookmarkEnd w:id="87"/>
    </w:p>
    <w:p>
      <w:pPr>
        <w:keepNext w:val="0"/>
        <w:keepLines w:val="0"/>
        <w:pageBreakBefore w:val="0"/>
        <w:widowControl w:val="0"/>
        <w:numPr>
          <w:ilvl w:val="0"/>
          <w:numId w:val="21"/>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bookmarkStart w:id="88" w:name="_Hlk64620301"/>
      <w:r>
        <w:rPr>
          <w:rFonts w:hint="eastAsia" w:ascii="宋体" w:hAnsi="宋体" w:eastAsia="宋体" w:cs="宋体"/>
          <w:b/>
          <w:bCs/>
          <w:sz w:val="24"/>
          <w:szCs w:val="24"/>
          <w:highlight w:val="none"/>
        </w:rPr>
        <w:t>交货验收与工期</w:t>
      </w:r>
    </w:p>
    <w:p>
      <w:pPr>
        <w:keepNext w:val="0"/>
        <w:keepLines w:val="0"/>
        <w:pageBreakBefore w:val="0"/>
        <w:widowControl w:val="0"/>
        <w:numPr>
          <w:ilvl w:val="1"/>
          <w:numId w:val="22"/>
        </w:numPr>
        <w:kinsoku/>
        <w:wordWrap/>
        <w:overflowPunct/>
        <w:topLinePunct w:val="0"/>
        <w:autoSpaceDE/>
        <w:autoSpaceDN/>
        <w:bidi w:val="0"/>
        <w:adjustRightInd/>
        <w:snapToGrid/>
        <w:spacing w:line="360" w:lineRule="auto"/>
        <w:ind w:left="426" w:hanging="426"/>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签订合同后按合同和磋商文件、磋商响应文件约定的要求和标准进行交货验收，交货期为签定合同后签定合同后</w:t>
      </w:r>
      <w:r>
        <w:rPr>
          <w:rFonts w:hint="eastAsia" w:ascii="宋体" w:hAnsi="宋体" w:eastAsia="宋体" w:cs="宋体"/>
          <w:sz w:val="24"/>
          <w:szCs w:val="24"/>
          <w:highlight w:val="none"/>
          <w:lang w:val="en-US" w:eastAsia="zh-CN"/>
        </w:rPr>
        <w:t>30个日历天内</w:t>
      </w:r>
      <w:r>
        <w:rPr>
          <w:rFonts w:hint="eastAsia" w:ascii="宋体" w:hAnsi="宋体" w:eastAsia="宋体" w:cs="宋体"/>
          <w:color w:val="000000"/>
          <w:sz w:val="24"/>
          <w:szCs w:val="24"/>
          <w:highlight w:val="none"/>
        </w:rPr>
        <w:t>。“交货</w:t>
      </w:r>
      <w:r>
        <w:rPr>
          <w:rFonts w:hint="eastAsia" w:ascii="宋体" w:hAnsi="宋体" w:eastAsia="宋体" w:cs="宋体"/>
          <w:sz w:val="24"/>
          <w:szCs w:val="24"/>
          <w:highlight w:val="none"/>
        </w:rPr>
        <w:t>期”指所有货物运抵现场安装调试完毕后交付用户验收的日期。</w:t>
      </w:r>
    </w:p>
    <w:p>
      <w:pPr>
        <w:bidi w:val="0"/>
        <w:rPr>
          <w:rFonts w:hint="eastAsia" w:ascii="宋体" w:hAnsi="宋体" w:eastAsia="宋体" w:cs="宋体"/>
          <w:sz w:val="24"/>
          <w:szCs w:val="24"/>
          <w:highlight w:val="none"/>
        </w:rPr>
      </w:pP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付款方式</w:t>
      </w:r>
    </w:p>
    <w:p>
      <w:pPr>
        <w:keepNext w:val="0"/>
        <w:keepLines w:val="0"/>
        <w:pageBreakBefore w:val="0"/>
        <w:widowControl w:val="0"/>
        <w:numPr>
          <w:ilvl w:val="1"/>
          <w:numId w:val="23"/>
        </w:numPr>
        <w:kinsoku/>
        <w:wordWrap/>
        <w:overflowPunct/>
        <w:topLinePunct w:val="0"/>
        <w:autoSpaceDE/>
        <w:autoSpaceDN/>
        <w:bidi w:val="0"/>
        <w:adjustRightInd/>
        <w:snapToGrid/>
        <w:spacing w:line="360" w:lineRule="auto"/>
        <w:ind w:left="567" w:leftChars="0" w:hanging="567"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本合同付款方式分批次结算。供应商收到</w:t>
      </w:r>
      <w:r>
        <w:rPr>
          <w:rFonts w:hint="eastAsia" w:ascii="宋体" w:hAnsi="宋体" w:eastAsia="宋体" w:cs="宋体"/>
          <w:sz w:val="24"/>
          <w:szCs w:val="24"/>
          <w:highlight w:val="none"/>
          <w:lang w:eastAsia="zh-CN"/>
        </w:rPr>
        <w:t>中标</w:t>
      </w:r>
      <w:r>
        <w:rPr>
          <w:rFonts w:hint="eastAsia" w:ascii="宋体" w:hAnsi="宋体" w:eastAsia="宋体" w:cs="宋体"/>
          <w:sz w:val="24"/>
          <w:szCs w:val="24"/>
          <w:highlight w:val="none"/>
        </w:rPr>
        <w:t>通知书后（签订合同前）预付货款的5%作为履约保证金到学校账户上；货物运到指定地点进行第一次验收，验收合格并安装调试完毕，经采购人第二次验收合格后付至合同总额的100%；验收完毕，履约保证金自动转为质保金，待验收合格质保期内所供产品无任何问题，一次性无息退还该质保金。</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sz w:val="24"/>
          <w:szCs w:val="24"/>
          <w:highlight w:val="none"/>
        </w:rPr>
      </w:pPr>
    </w:p>
    <w:p>
      <w:pPr>
        <w:keepNext w:val="0"/>
        <w:keepLines w:val="0"/>
        <w:pageBreakBefore w:val="0"/>
        <w:numPr>
          <w:ilvl w:val="0"/>
          <w:numId w:val="22"/>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售后服务</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质保期</w:t>
      </w:r>
      <w:r>
        <w:rPr>
          <w:rFonts w:hint="eastAsia" w:ascii="宋体" w:hAnsi="宋体" w:eastAsia="宋体" w:cs="宋体"/>
          <w:sz w:val="24"/>
          <w:szCs w:val="24"/>
          <w:highlight w:val="none"/>
          <w:lang w:val="en-US" w:eastAsia="zh-CN"/>
        </w:rPr>
        <w:t>1年</w:t>
      </w:r>
      <w:r>
        <w:rPr>
          <w:rFonts w:hint="eastAsia" w:ascii="宋体" w:hAnsi="宋体" w:eastAsia="宋体" w:cs="宋体"/>
          <w:sz w:val="24"/>
          <w:szCs w:val="24"/>
          <w:highlight w:val="none"/>
        </w:rPr>
        <w:t>。</w:t>
      </w:r>
    </w:p>
    <w:p>
      <w:pPr>
        <w:keepNext w:val="0"/>
        <w:keepLines w:val="0"/>
        <w:pageBreakBefore w:val="0"/>
        <w:widowControl/>
        <w:numPr>
          <w:ilvl w:val="0"/>
          <w:numId w:val="24"/>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质保期内</w:t>
      </w:r>
      <w:r>
        <w:rPr>
          <w:rFonts w:hint="eastAsia" w:ascii="宋体" w:hAnsi="宋体" w:eastAsia="宋体" w:cs="宋体"/>
          <w:sz w:val="24"/>
          <w:szCs w:val="24"/>
          <w:highlight w:val="none"/>
        </w:rPr>
        <w:t>接到售后电话2小时</w:t>
      </w:r>
      <w:r>
        <w:rPr>
          <w:rFonts w:hint="eastAsia" w:ascii="宋体" w:hAnsi="宋体" w:eastAsia="宋体" w:cs="宋体"/>
          <w:sz w:val="24"/>
          <w:szCs w:val="24"/>
          <w:highlight w:val="none"/>
          <w:lang w:eastAsia="zh-CN"/>
        </w:rPr>
        <w:t>内</w:t>
      </w:r>
      <w:r>
        <w:rPr>
          <w:rFonts w:hint="eastAsia" w:ascii="宋体" w:hAnsi="宋体" w:eastAsia="宋体" w:cs="宋体"/>
          <w:sz w:val="24"/>
          <w:szCs w:val="24"/>
          <w:highlight w:val="none"/>
        </w:rPr>
        <w:t>到达现场。承诺24小时内解决问题。</w:t>
      </w:r>
    </w:p>
    <w:p>
      <w:pPr>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p>
    <w:p>
      <w:pPr>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5" w:hanging="425"/>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其他说明</w:t>
      </w:r>
    </w:p>
    <w:p>
      <w:pPr>
        <w:keepNext w:val="0"/>
        <w:keepLines w:val="0"/>
        <w:pageBreakBefore w:val="0"/>
        <w:widowControl w:val="0"/>
        <w:numPr>
          <w:ilvl w:val="1"/>
          <w:numId w:val="22"/>
        </w:numPr>
        <w:kinsoku/>
        <w:wordWrap/>
        <w:overflowPunct/>
        <w:topLinePunct w:val="0"/>
        <w:autoSpaceDE/>
        <w:autoSpaceDN/>
        <w:bidi w:val="0"/>
        <w:adjustRightInd/>
        <w:snapToGrid/>
        <w:spacing w:line="360" w:lineRule="auto"/>
        <w:ind w:left="425" w:hanging="42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本项目采购预算控制金额为</w:t>
      </w:r>
      <w:r>
        <w:rPr>
          <w:rFonts w:hint="eastAsia" w:ascii="宋体" w:hAnsi="宋体" w:eastAsia="宋体" w:cs="宋体"/>
          <w:sz w:val="24"/>
          <w:szCs w:val="24"/>
          <w:highlight w:val="none"/>
          <w:lang w:val="en-US" w:eastAsia="zh-CN"/>
        </w:rPr>
        <w:t>22.99</w:t>
      </w:r>
      <w:r>
        <w:rPr>
          <w:rFonts w:hint="eastAsia" w:ascii="宋体" w:hAnsi="宋体" w:eastAsia="宋体" w:cs="宋体"/>
          <w:sz w:val="24"/>
          <w:szCs w:val="24"/>
          <w:highlight w:val="none"/>
        </w:rPr>
        <w:t>万元</w:t>
      </w:r>
      <w:r>
        <w:rPr>
          <w:rFonts w:hint="eastAsia" w:ascii="宋体" w:hAnsi="宋体" w:eastAsia="宋体" w:cs="宋体"/>
          <w:sz w:val="24"/>
          <w:szCs w:val="24"/>
          <w:highlight w:val="none"/>
          <w:lang w:val="en-US" w:eastAsia="zh-CN"/>
        </w:rPr>
        <w:t>(其中财政性资金16.66万元为资本性支出，校内资金6.33万元为商品和服务支出)</w:t>
      </w:r>
      <w:r>
        <w:rPr>
          <w:rFonts w:hint="eastAsia" w:ascii="宋体" w:hAnsi="宋体" w:eastAsia="宋体" w:cs="宋体"/>
          <w:sz w:val="24"/>
          <w:szCs w:val="24"/>
          <w:highlight w:val="none"/>
        </w:rPr>
        <w:t>，超出预算控制金额将导致其报价无效。</w:t>
      </w:r>
    </w:p>
    <w:p>
      <w:pPr>
        <w:keepNext w:val="0"/>
        <w:keepLines w:val="0"/>
        <w:pageBreakBefore w:val="0"/>
        <w:widowControl w:val="0"/>
        <w:numPr>
          <w:ilvl w:val="1"/>
          <w:numId w:val="22"/>
        </w:numPr>
        <w:kinsoku/>
        <w:wordWrap/>
        <w:overflowPunct/>
        <w:topLinePunct w:val="0"/>
        <w:autoSpaceDE/>
        <w:autoSpaceDN/>
        <w:bidi w:val="0"/>
        <w:adjustRightInd/>
        <w:snapToGrid/>
        <w:spacing w:line="360" w:lineRule="auto"/>
        <w:ind w:left="425" w:hanging="425"/>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供应商须具备人员、设备售后维护、培训和供应的能力。</w:t>
      </w:r>
      <w:bookmarkStart w:id="211" w:name="_GoBack"/>
      <w:r>
        <w:rPr>
          <w:rFonts w:hint="eastAsia" w:ascii="宋体" w:hAnsi="宋体" w:eastAsia="宋体" w:cs="宋体"/>
          <w:b/>
          <w:bCs/>
          <w:sz w:val="24"/>
          <w:szCs w:val="24"/>
          <w:highlight w:val="none"/>
          <w:lang w:val="en-US" w:eastAsia="zh-CN"/>
        </w:rPr>
        <w:t>（</w:t>
      </w:r>
      <w:r>
        <w:rPr>
          <w:rFonts w:hint="eastAsia" w:ascii="宋体" w:hAnsi="宋体" w:eastAsia="宋体" w:cs="宋体"/>
          <w:b/>
          <w:bCs/>
          <w:sz w:val="24"/>
          <w:szCs w:val="24"/>
          <w:highlight w:val="none"/>
        </w:rPr>
        <w:t>未提供承诺书将导致其投标无效</w:t>
      </w:r>
      <w:r>
        <w:rPr>
          <w:rFonts w:hint="eastAsia" w:ascii="宋体" w:hAnsi="宋体" w:eastAsia="宋体" w:cs="宋体"/>
          <w:b/>
          <w:bCs/>
          <w:sz w:val="24"/>
          <w:szCs w:val="24"/>
          <w:highlight w:val="none"/>
          <w:lang w:val="en-US" w:eastAsia="zh-CN"/>
        </w:rPr>
        <w:t>）</w:t>
      </w:r>
      <w:bookmarkEnd w:id="211"/>
    </w:p>
    <w:p>
      <w:pPr>
        <w:keepNext w:val="0"/>
        <w:keepLines w:val="0"/>
        <w:pageBreakBefore w:val="0"/>
        <w:widowControl w:val="0"/>
        <w:numPr>
          <w:ilvl w:val="1"/>
          <w:numId w:val="22"/>
        </w:numPr>
        <w:kinsoku/>
        <w:wordWrap/>
        <w:overflowPunct/>
        <w:topLinePunct w:val="0"/>
        <w:autoSpaceDE/>
        <w:autoSpaceDN/>
        <w:bidi w:val="0"/>
        <w:adjustRightInd/>
        <w:snapToGrid/>
        <w:spacing w:line="360" w:lineRule="auto"/>
        <w:ind w:left="425" w:hanging="425"/>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供应商须提供供货能力保障承诺书，承诺所投产品货源渠道正规，并保证按照合同和磋商文件、磋商响应文件约定的要求和标准按时交货，否则自愿放弃成交资格并赔偿因此给采购人造成的损失（未提供承诺书将导致其投标无效）。</w:t>
      </w:r>
    </w:p>
    <w:bookmarkEnd w:id="88"/>
    <w:p>
      <w:pPr>
        <w:adjustRightInd w:val="0"/>
        <w:snapToGrid w:val="0"/>
        <w:spacing w:line="360" w:lineRule="auto"/>
        <w:ind w:firstLine="480" w:firstLineChars="200"/>
        <w:rPr>
          <w:rFonts w:ascii="宋体" w:hAnsi="宋体" w:eastAsia="宋体" w:cs="宋体"/>
          <w:sz w:val="24"/>
          <w:szCs w:val="24"/>
          <w:highlight w:val="none"/>
        </w:rPr>
      </w:pPr>
      <w:bookmarkStart w:id="89" w:name="_Toc511894513"/>
      <w:bookmarkStart w:id="90" w:name="_Toc2782583"/>
      <w:r>
        <w:rPr>
          <w:rFonts w:ascii="宋体" w:hAnsi="宋体" w:eastAsia="宋体" w:cs="宋体"/>
          <w:bCs/>
          <w:sz w:val="24"/>
          <w:szCs w:val="24"/>
          <w:highlight w:val="none"/>
        </w:rPr>
        <w:br w:type="page"/>
      </w:r>
    </w:p>
    <w:bookmarkEnd w:id="89"/>
    <w:bookmarkEnd w:id="90"/>
    <w:p>
      <w:pPr>
        <w:pStyle w:val="3"/>
        <w:jc w:val="center"/>
        <w:rPr>
          <w:sz w:val="36"/>
          <w:szCs w:val="36"/>
          <w:highlight w:val="none"/>
        </w:rPr>
      </w:pPr>
      <w:bookmarkStart w:id="91" w:name="_Toc65158800"/>
      <w:r>
        <w:rPr>
          <w:rFonts w:hint="eastAsia"/>
          <w:sz w:val="36"/>
          <w:szCs w:val="36"/>
          <w:highlight w:val="none"/>
        </w:rPr>
        <w:t>评审标准及方法</w:t>
      </w:r>
      <w:bookmarkEnd w:id="91"/>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根据《中华人民共和国政府采购法》、《中华人民共和国政府采购法实施条例》和《政府采购竞争性磋商采购方式管理暂行办法》等相关法律法规确定，确定以下评审标准及方法。</w:t>
      </w:r>
    </w:p>
    <w:p>
      <w:pPr>
        <w:pStyle w:val="4"/>
        <w:jc w:val="left"/>
        <w:rPr>
          <w:sz w:val="32"/>
          <w:highlight w:val="none"/>
        </w:rPr>
      </w:pPr>
      <w:bookmarkStart w:id="92" w:name="_Toc65158801"/>
      <w:r>
        <w:rPr>
          <w:rFonts w:hint="eastAsia"/>
          <w:sz w:val="32"/>
          <w:highlight w:val="none"/>
        </w:rPr>
        <w:t>评审方法</w:t>
      </w:r>
      <w:bookmarkEnd w:id="92"/>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本项目采用综合评分法进行评审。综合评分法是指在最大限度地满足竞争性磋商文件实质性要求前提下，按照竞争性磋商文件中规定的各项评分因素进行综合评审后，以评审总得分最高的供应商作为成交候选供应商或者成交供应商的评审方法。</w:t>
      </w:r>
    </w:p>
    <w:p>
      <w:pPr>
        <w:pStyle w:val="4"/>
        <w:jc w:val="left"/>
        <w:rPr>
          <w:sz w:val="32"/>
          <w:highlight w:val="none"/>
        </w:rPr>
      </w:pPr>
      <w:bookmarkStart w:id="93" w:name="_Toc65158802"/>
      <w:r>
        <w:rPr>
          <w:rFonts w:hint="eastAsia"/>
          <w:sz w:val="32"/>
          <w:highlight w:val="none"/>
        </w:rPr>
        <w:t>评审程序</w:t>
      </w:r>
      <w:bookmarkEnd w:id="93"/>
    </w:p>
    <w:p>
      <w:pPr>
        <w:pStyle w:val="5"/>
        <w:rPr>
          <w:sz w:val="30"/>
          <w:szCs w:val="30"/>
          <w:highlight w:val="none"/>
        </w:rPr>
      </w:pPr>
      <w:bookmarkStart w:id="94" w:name="_Toc65158803"/>
      <w:r>
        <w:rPr>
          <w:rFonts w:hint="eastAsia"/>
          <w:sz w:val="30"/>
          <w:szCs w:val="30"/>
          <w:highlight w:val="none"/>
        </w:rPr>
        <w:t>资格性审查</w:t>
      </w:r>
      <w:bookmarkEnd w:id="94"/>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 xml:space="preserve">1 </w:t>
      </w:r>
      <w:r>
        <w:rPr>
          <w:rFonts w:hint="eastAsia" w:ascii="宋体" w:hAnsi="宋体" w:eastAsia="宋体"/>
          <w:sz w:val="24"/>
          <w:szCs w:val="24"/>
          <w:highlight w:val="none"/>
        </w:rPr>
        <w:t>磋商小组对供应商竞争性磋商响应文件中的资格证明文件进行审查，以确定供应商是否具备磋商资格。资格性审查表如下：</w:t>
      </w:r>
    </w:p>
    <w:p>
      <w:pPr>
        <w:spacing w:line="360" w:lineRule="auto"/>
        <w:jc w:val="center"/>
        <w:rPr>
          <w:b/>
          <w:bCs/>
          <w:sz w:val="28"/>
          <w:szCs w:val="28"/>
          <w:highlight w:val="none"/>
        </w:rPr>
      </w:pPr>
      <w:bookmarkStart w:id="95" w:name="_Hlk44232161"/>
      <w:r>
        <w:rPr>
          <w:rFonts w:hint="eastAsia"/>
          <w:b/>
          <w:bCs/>
          <w:sz w:val="28"/>
          <w:szCs w:val="28"/>
          <w:highlight w:val="none"/>
        </w:rPr>
        <w:t>资格性审查表</w:t>
      </w:r>
    </w:p>
    <w:tbl>
      <w:tblPr>
        <w:tblStyle w:val="32"/>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20"/>
        <w:gridCol w:w="1448"/>
        <w:gridCol w:w="694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shd w:val="clear" w:color="auto" w:fill="BEBEBE" w:themeFill="background1" w:themeFillShade="BF"/>
            <w:vAlign w:val="center"/>
          </w:tcPr>
          <w:p>
            <w:pPr>
              <w:adjustRightInd w:val="0"/>
              <w:snapToGrid w:val="0"/>
              <w:jc w:val="center"/>
              <w:rPr>
                <w:rFonts w:ascii="宋体" w:cs="宋体"/>
                <w:color w:val="000000"/>
                <w:kern w:val="0"/>
                <w:sz w:val="24"/>
                <w:szCs w:val="24"/>
                <w:highlight w:val="none"/>
              </w:rPr>
            </w:pPr>
            <w:bookmarkStart w:id="96" w:name="_Hlk64617386"/>
            <w:r>
              <w:rPr>
                <w:rFonts w:hint="eastAsia" w:ascii="宋体" w:hAnsi="宋体" w:cs="宋体"/>
                <w:color w:val="000000"/>
                <w:kern w:val="0"/>
                <w:sz w:val="24"/>
                <w:szCs w:val="24"/>
                <w:highlight w:val="none"/>
              </w:rPr>
              <w:t>序号</w:t>
            </w:r>
          </w:p>
        </w:tc>
        <w:tc>
          <w:tcPr>
            <w:tcW w:w="794" w:type="pct"/>
            <w:shd w:val="clear" w:color="auto" w:fill="BEBEBE" w:themeFill="background1" w:themeFillShade="BF"/>
            <w:vAlign w:val="center"/>
          </w:tcPr>
          <w:p>
            <w:pPr>
              <w:adjustRightInd w:val="0"/>
              <w:snapToGrid w:val="0"/>
              <w:jc w:val="center"/>
              <w:rPr>
                <w:rFonts w:ascii="宋体" w:cs="宋体"/>
                <w:color w:val="000000"/>
                <w:kern w:val="0"/>
                <w:sz w:val="24"/>
                <w:szCs w:val="24"/>
                <w:highlight w:val="none"/>
              </w:rPr>
            </w:pPr>
            <w:r>
              <w:rPr>
                <w:rFonts w:hint="eastAsia" w:ascii="宋体" w:hAnsi="宋体" w:cs="宋体"/>
                <w:color w:val="000000"/>
                <w:kern w:val="0"/>
                <w:sz w:val="24"/>
                <w:szCs w:val="24"/>
                <w:highlight w:val="none"/>
              </w:rPr>
              <w:t>审查因素</w:t>
            </w:r>
          </w:p>
        </w:tc>
        <w:tc>
          <w:tcPr>
            <w:tcW w:w="3811" w:type="pct"/>
            <w:shd w:val="clear" w:color="auto" w:fill="BEBEBE" w:themeFill="background1" w:themeFillShade="BF"/>
            <w:vAlign w:val="center"/>
          </w:tcPr>
          <w:p>
            <w:pPr>
              <w:adjustRightInd w:val="0"/>
              <w:snapToGrid w:val="0"/>
              <w:jc w:val="center"/>
              <w:rPr>
                <w:rFonts w:ascii="宋体" w:cs="宋体"/>
                <w:color w:val="000000"/>
                <w:kern w:val="0"/>
                <w:sz w:val="24"/>
                <w:szCs w:val="24"/>
                <w:highlight w:val="none"/>
              </w:rPr>
            </w:pPr>
            <w:r>
              <w:rPr>
                <w:rFonts w:hint="eastAsia" w:ascii="宋体" w:hAnsi="宋体" w:cs="宋体"/>
                <w:color w:val="000000"/>
                <w:kern w:val="0"/>
                <w:sz w:val="24"/>
                <w:szCs w:val="24"/>
                <w:highlight w:val="none"/>
              </w:rPr>
              <w:t>审查内容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1</w:t>
            </w:r>
          </w:p>
        </w:tc>
        <w:tc>
          <w:tcPr>
            <w:tcW w:w="794" w:type="pct"/>
            <w:vAlign w:val="center"/>
          </w:tcPr>
          <w:p>
            <w:pPr>
              <w:adjustRightInd w:val="0"/>
              <w:snapToGrid w:val="0"/>
              <w:jc w:val="center"/>
              <w:rPr>
                <w:rFonts w:ascii="宋体"/>
                <w:sz w:val="24"/>
                <w:szCs w:val="24"/>
                <w:highlight w:val="none"/>
              </w:rPr>
            </w:pPr>
            <w:r>
              <w:rPr>
                <w:rFonts w:hint="eastAsia" w:ascii="宋体" w:hAnsi="宋体"/>
                <w:sz w:val="24"/>
                <w:szCs w:val="24"/>
                <w:highlight w:val="none"/>
              </w:rPr>
              <w:t>主体资格</w:t>
            </w:r>
          </w:p>
        </w:tc>
        <w:tc>
          <w:tcPr>
            <w:tcW w:w="3811" w:type="pct"/>
            <w:vAlign w:val="center"/>
          </w:tcPr>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符合《中华人民共和国政府采购法》第二十二条规定</w:t>
            </w:r>
            <w:r>
              <w:rPr>
                <w:rFonts w:ascii="宋体" w:hAnsi="宋体"/>
                <w:color w:val="000000"/>
                <w:kern w:val="0"/>
                <w:sz w:val="24"/>
                <w:szCs w:val="24"/>
                <w:highlight w:val="none"/>
              </w:rPr>
              <w:t>,</w:t>
            </w:r>
            <w:r>
              <w:rPr>
                <w:rFonts w:hint="eastAsia" w:ascii="宋体" w:hAnsi="宋体"/>
                <w:color w:val="000000"/>
                <w:kern w:val="0"/>
                <w:sz w:val="24"/>
                <w:szCs w:val="24"/>
                <w:highlight w:val="none"/>
              </w:rPr>
              <w:t>具体包含：</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（1）具有独立承担民事责任的能力；</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（2）具有良好的商业信誉和健全的财务会计制度；</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（3）具有履行合同所必需的设备和专业技术能力；</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（4）有依法缴纳税收和社会保障资金的良好记录；</w:t>
            </w:r>
          </w:p>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（5）参加政府采购活动前三年内，在经营活动中没有重大违法记录；</w:t>
            </w:r>
          </w:p>
          <w:p>
            <w:pPr>
              <w:widowControl/>
              <w:adjustRightInd w:val="0"/>
              <w:snapToGrid w:val="0"/>
              <w:rPr>
                <w:rFonts w:ascii="宋体" w:cs="宋体"/>
                <w:color w:val="000000"/>
                <w:kern w:val="0"/>
                <w:sz w:val="24"/>
                <w:szCs w:val="24"/>
                <w:highlight w:val="none"/>
              </w:rPr>
            </w:pPr>
            <w:r>
              <w:rPr>
                <w:rFonts w:hint="eastAsia" w:ascii="宋体" w:hAnsi="宋体"/>
                <w:color w:val="000000"/>
                <w:kern w:val="0"/>
                <w:sz w:val="24"/>
                <w:szCs w:val="24"/>
                <w:highlight w:val="none"/>
              </w:rPr>
              <w:t>（6）法律、行政法规规定的其他条件。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2</w:t>
            </w:r>
          </w:p>
        </w:tc>
        <w:tc>
          <w:tcPr>
            <w:tcW w:w="794" w:type="pct"/>
            <w:vAlign w:val="center"/>
          </w:tcPr>
          <w:p>
            <w:pPr>
              <w:adjustRightInd w:val="0"/>
              <w:snapToGrid w:val="0"/>
              <w:jc w:val="center"/>
              <w:rPr>
                <w:rFonts w:ascii="宋体"/>
                <w:sz w:val="24"/>
                <w:szCs w:val="24"/>
                <w:highlight w:val="none"/>
              </w:rPr>
            </w:pPr>
            <w:r>
              <w:rPr>
                <w:rFonts w:hint="eastAsia" w:ascii="宋体" w:hAnsi="宋体"/>
                <w:sz w:val="24"/>
                <w:szCs w:val="24"/>
                <w:highlight w:val="none"/>
              </w:rPr>
              <w:t>关联关系</w:t>
            </w:r>
          </w:p>
        </w:tc>
        <w:tc>
          <w:tcPr>
            <w:tcW w:w="3811" w:type="pct"/>
            <w:vAlign w:val="center"/>
          </w:tcPr>
          <w:p>
            <w:pPr>
              <w:widowControl/>
              <w:adjustRightInd w:val="0"/>
              <w:snapToGrid w:val="0"/>
              <w:rPr>
                <w:rFonts w:ascii="宋体" w:cs="宋体"/>
                <w:color w:val="000000"/>
                <w:kern w:val="0"/>
                <w:sz w:val="24"/>
                <w:szCs w:val="24"/>
                <w:highlight w:val="none"/>
              </w:rPr>
            </w:pPr>
            <w:r>
              <w:rPr>
                <w:rFonts w:hint="eastAsia" w:ascii="宋体" w:hAnsi="宋体"/>
                <w:color w:val="000000"/>
                <w:kern w:val="0"/>
                <w:sz w:val="24"/>
                <w:szCs w:val="24"/>
                <w:highlight w:val="none"/>
              </w:rPr>
              <w:t>单位负责人为同一人或者存在直接控股、管理关系的不同供应商，不得参加本项目同一合同项下的政府采购活动。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3</w:t>
            </w:r>
          </w:p>
        </w:tc>
        <w:tc>
          <w:tcPr>
            <w:tcW w:w="794" w:type="pct"/>
            <w:vAlign w:val="center"/>
          </w:tcPr>
          <w:p>
            <w:pPr>
              <w:adjustRightInd w:val="0"/>
              <w:snapToGrid w:val="0"/>
              <w:jc w:val="center"/>
              <w:rPr>
                <w:rFonts w:ascii="宋体" w:hAnsi="宋体"/>
                <w:sz w:val="24"/>
                <w:szCs w:val="24"/>
                <w:highlight w:val="none"/>
              </w:rPr>
            </w:pPr>
            <w:r>
              <w:rPr>
                <w:rFonts w:hint="eastAsia" w:ascii="宋体" w:hAnsi="宋体"/>
                <w:sz w:val="24"/>
                <w:szCs w:val="24"/>
                <w:highlight w:val="none"/>
              </w:rPr>
              <w:t>前期服务</w:t>
            </w:r>
          </w:p>
        </w:tc>
        <w:tc>
          <w:tcPr>
            <w:tcW w:w="3811" w:type="pct"/>
            <w:vAlign w:val="center"/>
          </w:tcPr>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为本采购项目提供整体设计、规范编制或者项目管理、监理、检测等服务的，不得再参加本项目的其他招标采购活动。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ascii="宋体" w:hAnsi="宋体" w:cs="宋体"/>
                <w:color w:val="000000"/>
                <w:kern w:val="0"/>
                <w:sz w:val="24"/>
                <w:szCs w:val="24"/>
                <w:highlight w:val="none"/>
              </w:rPr>
              <w:t>4</w:t>
            </w:r>
          </w:p>
        </w:tc>
        <w:tc>
          <w:tcPr>
            <w:tcW w:w="794" w:type="pct"/>
            <w:vAlign w:val="center"/>
          </w:tcPr>
          <w:p>
            <w:pPr>
              <w:adjustRightInd w:val="0"/>
              <w:snapToGrid w:val="0"/>
              <w:jc w:val="center"/>
              <w:rPr>
                <w:rFonts w:ascii="宋体"/>
                <w:sz w:val="24"/>
                <w:szCs w:val="24"/>
                <w:highlight w:val="none"/>
              </w:rPr>
            </w:pPr>
            <w:r>
              <w:rPr>
                <w:rFonts w:hint="eastAsia" w:ascii="宋体" w:hAnsi="宋体"/>
                <w:bCs/>
                <w:sz w:val="24"/>
                <w:szCs w:val="24"/>
                <w:highlight w:val="none"/>
              </w:rPr>
              <w:t>信用信息</w:t>
            </w:r>
          </w:p>
        </w:tc>
        <w:tc>
          <w:tcPr>
            <w:tcW w:w="3811" w:type="pct"/>
            <w:vAlign w:val="center"/>
          </w:tcPr>
          <w:p>
            <w:pPr>
              <w:widowControl/>
              <w:adjustRightInd w:val="0"/>
              <w:snapToGrid w:val="0"/>
              <w:rPr>
                <w:rFonts w:ascii="宋体" w:cs="宋体"/>
                <w:color w:val="000000"/>
                <w:kern w:val="0"/>
                <w:sz w:val="24"/>
                <w:szCs w:val="24"/>
                <w:highlight w:val="none"/>
              </w:rPr>
            </w:pPr>
            <w:r>
              <w:rPr>
                <w:rFonts w:hint="eastAsia" w:ascii="宋体" w:hAnsi="宋体"/>
                <w:sz w:val="24"/>
                <w:szCs w:val="24"/>
                <w:highlight w:val="none"/>
              </w:rPr>
              <w:t>未被列入失信被执行人、重大税收违法案件当事人名单，未被列入政府采购严重违法失信行为记录名单。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5</w:t>
            </w:r>
          </w:p>
        </w:tc>
        <w:tc>
          <w:tcPr>
            <w:tcW w:w="794" w:type="pct"/>
            <w:vAlign w:val="center"/>
          </w:tcPr>
          <w:p>
            <w:pPr>
              <w:adjustRightInd w:val="0"/>
              <w:snapToGrid w:val="0"/>
              <w:jc w:val="center"/>
              <w:rPr>
                <w:rFonts w:ascii="宋体"/>
                <w:sz w:val="24"/>
                <w:szCs w:val="24"/>
                <w:highlight w:val="none"/>
              </w:rPr>
            </w:pPr>
            <w:r>
              <w:rPr>
                <w:rFonts w:hint="eastAsia" w:ascii="宋体" w:hAnsi="宋体"/>
                <w:sz w:val="24"/>
                <w:szCs w:val="24"/>
                <w:highlight w:val="none"/>
              </w:rPr>
              <w:t>特定资格</w:t>
            </w:r>
          </w:p>
        </w:tc>
        <w:tc>
          <w:tcPr>
            <w:tcW w:w="3811" w:type="pct"/>
            <w:vAlign w:val="center"/>
          </w:tcPr>
          <w:p>
            <w:pPr>
              <w:widowControl/>
              <w:adjustRightInd w:val="0"/>
              <w:snapToGrid w:val="0"/>
              <w:rPr>
                <w:rFonts w:hint="eastAsia" w:ascii="宋体" w:hAnsi="宋体" w:eastAsiaTheme="minorEastAsia"/>
                <w:sz w:val="24"/>
                <w:highlight w:val="none"/>
                <w:lang w:eastAsia="zh-CN"/>
              </w:rPr>
            </w:pPr>
            <w:r>
              <w:rPr>
                <w:rFonts w:hint="eastAsia" w:ascii="宋体" w:hAnsi="宋体"/>
                <w:color w:val="000000"/>
                <w:kern w:val="0"/>
                <w:sz w:val="24"/>
                <w:szCs w:val="24"/>
                <w:highlight w:val="none"/>
                <w:lang w:eastAsia="zh-CN"/>
              </w:rPr>
              <w:t>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395" w:type="pct"/>
            <w:vAlign w:val="center"/>
          </w:tcPr>
          <w:p>
            <w:pPr>
              <w:adjustRightInd w:val="0"/>
              <w:snapToGrid w:val="0"/>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6</w:t>
            </w:r>
          </w:p>
        </w:tc>
        <w:tc>
          <w:tcPr>
            <w:tcW w:w="794" w:type="pct"/>
            <w:vAlign w:val="center"/>
          </w:tcPr>
          <w:p>
            <w:pPr>
              <w:adjustRightInd w:val="0"/>
              <w:snapToGrid w:val="0"/>
              <w:jc w:val="center"/>
              <w:rPr>
                <w:rFonts w:ascii="宋体" w:hAnsi="宋体"/>
                <w:sz w:val="24"/>
                <w:szCs w:val="24"/>
                <w:highlight w:val="none"/>
              </w:rPr>
            </w:pPr>
            <w:r>
              <w:rPr>
                <w:rFonts w:hint="eastAsia" w:ascii="宋体" w:hAnsi="宋体"/>
                <w:sz w:val="24"/>
                <w:szCs w:val="24"/>
                <w:highlight w:val="none"/>
              </w:rPr>
              <w:t>联合体</w:t>
            </w:r>
          </w:p>
        </w:tc>
        <w:tc>
          <w:tcPr>
            <w:tcW w:w="3811" w:type="pct"/>
            <w:vAlign w:val="center"/>
          </w:tcPr>
          <w:p>
            <w:pPr>
              <w:widowControl/>
              <w:adjustRightInd w:val="0"/>
              <w:snapToGrid w:val="0"/>
              <w:rPr>
                <w:rFonts w:ascii="宋体" w:hAnsi="宋体"/>
                <w:color w:val="000000"/>
                <w:kern w:val="0"/>
                <w:sz w:val="24"/>
                <w:szCs w:val="24"/>
                <w:highlight w:val="none"/>
              </w:rPr>
            </w:pPr>
            <w:r>
              <w:rPr>
                <w:rFonts w:hint="eastAsia" w:ascii="宋体" w:hAnsi="宋体"/>
                <w:color w:val="000000"/>
                <w:kern w:val="0"/>
                <w:sz w:val="24"/>
                <w:szCs w:val="24"/>
                <w:highlight w:val="none"/>
              </w:rPr>
              <w:t>本项目不接受供应商组成联合体参与磋商。</w:t>
            </w:r>
          </w:p>
        </w:tc>
      </w:tr>
      <w:bookmarkEnd w:id="95"/>
      <w:bookmarkEnd w:id="96"/>
    </w:tbl>
    <w:p>
      <w:pPr>
        <w:spacing w:line="360" w:lineRule="auto"/>
        <w:rPr>
          <w:rFonts w:ascii="宋体" w:hAnsi="宋体" w:cs="宋体"/>
          <w:color w:val="000000" w:themeColor="text1"/>
          <w:kern w:val="0"/>
          <w:sz w:val="24"/>
          <w:highlight w:val="none"/>
          <w14:textFill>
            <w14:solidFill>
              <w14:schemeClr w14:val="tx1"/>
            </w14:solidFill>
          </w14:textFill>
        </w:rPr>
      </w:pPr>
      <w:bookmarkStart w:id="97" w:name="_Hlk64727186"/>
      <w:r>
        <w:rPr>
          <w:rFonts w:hint="eastAsia" w:ascii="宋体" w:hAnsi="宋体" w:cs="宋体"/>
          <w:color w:val="000000" w:themeColor="text1"/>
          <w:kern w:val="0"/>
          <w:sz w:val="24"/>
          <w:highlight w:val="none"/>
          <w14:textFill>
            <w14:solidFill>
              <w14:schemeClr w14:val="tx1"/>
            </w14:solidFill>
          </w14:textFill>
        </w:rPr>
        <w:t>注：《中华人民共和国政府采购法》第二十二条规定详见本小节后附“政府采购法第二十二条所需证明材料一览表”列明要求。信用信息的查询要求详见第二章“信用及查询”小节要求。</w:t>
      </w:r>
    </w:p>
    <w:bookmarkEnd w:id="97"/>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 xml:space="preserve">2 </w:t>
      </w:r>
      <w:r>
        <w:rPr>
          <w:rFonts w:hint="eastAsia" w:ascii="宋体" w:hAnsi="宋体" w:eastAsia="宋体"/>
          <w:sz w:val="24"/>
          <w:szCs w:val="24"/>
          <w:highlight w:val="none"/>
        </w:rPr>
        <w:t>以上为必要合格条件，即法律、法规等规定必须满足的法定允许磋商的条件，且只进行定性评审，只要有一项不满足，其磋商函资格将被拒绝。</w:t>
      </w:r>
    </w:p>
    <w:p>
      <w:pPr>
        <w:spacing w:line="360" w:lineRule="auto"/>
        <w:jc w:val="center"/>
        <w:rPr>
          <w:b/>
          <w:bCs/>
          <w:sz w:val="28"/>
          <w:szCs w:val="28"/>
          <w:highlight w:val="none"/>
        </w:rPr>
      </w:pPr>
      <w:bookmarkStart w:id="98" w:name="_Hlk64617626"/>
      <w:r>
        <w:rPr>
          <w:rFonts w:hint="eastAsia"/>
          <w:b/>
          <w:bCs/>
          <w:sz w:val="28"/>
          <w:szCs w:val="28"/>
          <w:highlight w:val="none"/>
        </w:rPr>
        <w:t>政府采购法第二十二条所需证明材料一览表</w:t>
      </w:r>
    </w:p>
    <w:tbl>
      <w:tblPr>
        <w:tblStyle w:val="33"/>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985"/>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shd w:val="clear" w:color="auto" w:fill="BEBEBE" w:themeFill="background1" w:themeFillShade="BF"/>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条款</w:t>
            </w:r>
          </w:p>
        </w:tc>
        <w:tc>
          <w:tcPr>
            <w:tcW w:w="1985" w:type="dxa"/>
            <w:shd w:val="clear" w:color="auto" w:fill="BEBEBE" w:themeFill="background1" w:themeFillShade="BF"/>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条款内容</w:t>
            </w:r>
          </w:p>
        </w:tc>
        <w:tc>
          <w:tcPr>
            <w:tcW w:w="7087" w:type="dxa"/>
            <w:shd w:val="clear" w:color="auto" w:fill="BEBEBE" w:themeFill="background1" w:themeFillShade="BF"/>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需求证明材料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1</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具有独立承担民事责任的能力；</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企业法人（包括合伙企业）：提供有效的“营业执照”，不能以分支机构名义参加政府采购活动；但对于银行、保险、石油石化、电力、电信等有行业特殊情况的，采购人和代理机构允许其分支机构参与本采购活动。</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2、事业单位法人：提供有效的“事业单位法人证书”；</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3、社会团体法人：提供有效的“社会团体法人登记证书”；</w:t>
            </w:r>
          </w:p>
          <w:p>
            <w:pPr>
              <w:adjustRightInd w:val="0"/>
              <w:snapToGrid w:val="0"/>
              <w:jc w:val="left"/>
              <w:rPr>
                <w:rFonts w:asciiTheme="minorEastAsia" w:hAnsiTheme="minorEastAsia"/>
                <w:sz w:val="24"/>
                <w:szCs w:val="24"/>
                <w:highlight w:val="none"/>
              </w:rPr>
            </w:pPr>
            <w:r>
              <w:rPr>
                <w:rFonts w:asciiTheme="minorEastAsia" w:hAnsiTheme="minorEastAsia"/>
                <w:sz w:val="24"/>
                <w:szCs w:val="24"/>
                <w:highlight w:val="none"/>
              </w:rPr>
              <w:t>4</w:t>
            </w:r>
            <w:r>
              <w:rPr>
                <w:rFonts w:hint="eastAsia" w:asciiTheme="minorEastAsia" w:hAnsiTheme="minorEastAsia"/>
                <w:sz w:val="24"/>
                <w:szCs w:val="24"/>
                <w:highlight w:val="none"/>
              </w:rPr>
              <w:t>、非企业专业服务机构：如律师事务所，提供执业许可证等证明文件；</w:t>
            </w:r>
          </w:p>
          <w:p>
            <w:pPr>
              <w:adjustRightInd w:val="0"/>
              <w:snapToGrid w:val="0"/>
              <w:jc w:val="left"/>
              <w:rPr>
                <w:rFonts w:asciiTheme="minorEastAsia" w:hAnsiTheme="minorEastAsia"/>
                <w:sz w:val="24"/>
                <w:szCs w:val="24"/>
                <w:highlight w:val="none"/>
              </w:rPr>
            </w:pPr>
            <w:r>
              <w:rPr>
                <w:rFonts w:asciiTheme="minorEastAsia" w:hAnsiTheme="minorEastAsia"/>
                <w:sz w:val="24"/>
                <w:szCs w:val="24"/>
                <w:highlight w:val="none"/>
              </w:rPr>
              <w:t>5</w:t>
            </w:r>
            <w:r>
              <w:rPr>
                <w:rFonts w:hint="eastAsia" w:asciiTheme="minorEastAsia" w:hAnsiTheme="minorEastAsia"/>
                <w:sz w:val="24"/>
                <w:szCs w:val="24"/>
                <w:highlight w:val="none"/>
              </w:rPr>
              <w:t>、个体工商户：提供有效的“个体工商户营业执照”；</w:t>
            </w:r>
          </w:p>
          <w:p>
            <w:pPr>
              <w:adjustRightInd w:val="0"/>
              <w:snapToGrid w:val="0"/>
              <w:jc w:val="left"/>
              <w:rPr>
                <w:rFonts w:asciiTheme="minorEastAsia" w:hAnsiTheme="minorEastAsia"/>
                <w:sz w:val="24"/>
                <w:szCs w:val="24"/>
                <w:highlight w:val="none"/>
              </w:rPr>
            </w:pPr>
            <w:r>
              <w:rPr>
                <w:rFonts w:asciiTheme="minorEastAsia" w:hAnsiTheme="minorEastAsia"/>
                <w:sz w:val="24"/>
                <w:szCs w:val="24"/>
                <w:highlight w:val="none"/>
              </w:rPr>
              <w:t>6</w:t>
            </w:r>
            <w:r>
              <w:rPr>
                <w:rFonts w:hint="eastAsia" w:asciiTheme="minorEastAsia" w:hAnsiTheme="minorEastAsia"/>
                <w:sz w:val="24"/>
                <w:szCs w:val="24"/>
                <w:highlight w:val="none"/>
              </w:rPr>
              <w:t>、自然人：提供有效的自然人身份证明（仅限中国公民）。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2</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具有良好的商业信誉和健全的财务会计制度；</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1、良好的商业信誉</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结合供应商自身实际商业信誉情况，须严格按照第七章“响应文件格式”的相关要求，提供“商业信誉承诺函”；</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2、健全的财务会计制度</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须提供企业财务状况报告来准确反映供应商的商业信誉情况，以此反映供应商是否有健全的财务会计制度。</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1）法人：提供近</w:t>
            </w:r>
            <w:r>
              <w:rPr>
                <w:rFonts w:hint="eastAsia" w:asciiTheme="minorEastAsia" w:hAnsiTheme="minorEastAsia"/>
                <w:sz w:val="24"/>
                <w:szCs w:val="24"/>
                <w:highlight w:val="none"/>
                <w:lang w:val="en-US" w:eastAsia="zh-CN"/>
              </w:rPr>
              <w:t>两</w:t>
            </w:r>
            <w:r>
              <w:rPr>
                <w:rFonts w:hint="eastAsia" w:asciiTheme="minorEastAsia" w:hAnsiTheme="minorEastAsia"/>
                <w:sz w:val="24"/>
                <w:szCs w:val="24"/>
                <w:highlight w:val="none"/>
              </w:rPr>
              <w:t>年（2019</w:t>
            </w:r>
            <w:r>
              <w:rPr>
                <w:rFonts w:hint="eastAsia" w:asciiTheme="minorEastAsia" w:hAnsiTheme="minorEastAsia"/>
                <w:color w:val="auto"/>
                <w:sz w:val="24"/>
                <w:szCs w:val="24"/>
                <w:highlight w:val="none"/>
              </w:rPr>
              <w:t>年</w:t>
            </w:r>
            <w:r>
              <w:rPr>
                <w:rFonts w:hint="eastAsia" w:asciiTheme="minorEastAsia" w:hAnsiTheme="minorEastAsia"/>
                <w:color w:val="auto"/>
                <w:sz w:val="24"/>
                <w:szCs w:val="24"/>
                <w:highlight w:val="none"/>
                <w:lang w:val="en-US" w:eastAsia="zh-CN"/>
              </w:rPr>
              <w:t>至今</w:t>
            </w:r>
            <w:r>
              <w:rPr>
                <w:rFonts w:hint="eastAsia" w:asciiTheme="minorEastAsia" w:hAnsiTheme="minorEastAsia"/>
                <w:color w:val="auto"/>
                <w:sz w:val="24"/>
                <w:szCs w:val="24"/>
                <w:highlight w:val="none"/>
              </w:rPr>
              <w:t>）</w:t>
            </w:r>
            <w:r>
              <w:rPr>
                <w:rFonts w:hint="eastAsia" w:asciiTheme="minorEastAsia" w:hAnsiTheme="minorEastAsia"/>
                <w:sz w:val="24"/>
                <w:szCs w:val="24"/>
                <w:highlight w:val="none"/>
              </w:rPr>
              <w:t>经第三方审计的完整的财务报告，或其基本开户银行出具的资信证明；</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2）其他组织和自然人：没有经第三方审计的财务报告的，可以提供银行出具的资信证明；</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3）供应商没有经第三方审计的财务报告和资信证明时，也可以提供财政部门认可的政府采购专业担保机构出具的担保函。</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备注：2</w:t>
            </w:r>
            <w:r>
              <w:rPr>
                <w:rFonts w:asciiTheme="minorEastAsia" w:hAnsiTheme="minorEastAsia"/>
                <w:sz w:val="24"/>
                <w:szCs w:val="24"/>
                <w:highlight w:val="none"/>
              </w:rPr>
              <w:t>021</w:t>
            </w:r>
            <w:r>
              <w:rPr>
                <w:rFonts w:hint="eastAsia" w:asciiTheme="minorEastAsia" w:hAnsiTheme="minorEastAsia"/>
                <w:sz w:val="24"/>
                <w:szCs w:val="24"/>
                <w:highlight w:val="none"/>
              </w:rPr>
              <w:t>年成立的公司提供公司财务的验资报告，或成立至今的供应商内部财务报表。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3</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具有履行合同所必需的设备和专业技术能力；</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1、</w:t>
            </w:r>
            <w:r>
              <w:rPr>
                <w:rFonts w:hint="eastAsia" w:ascii="宋体" w:hAnsi="宋体" w:eastAsia="宋体" w:cs="Times New Roman"/>
                <w:color w:val="000000"/>
                <w:kern w:val="0"/>
                <w:sz w:val="24"/>
                <w:szCs w:val="24"/>
                <w:highlight w:val="none"/>
              </w:rPr>
              <w:t>提供履行本项目合同所必须的</w:t>
            </w:r>
            <w:r>
              <w:rPr>
                <w:rFonts w:hint="eastAsia" w:asciiTheme="minorEastAsia" w:hAnsiTheme="minorEastAsia"/>
                <w:sz w:val="24"/>
                <w:szCs w:val="24"/>
                <w:highlight w:val="none"/>
              </w:rPr>
              <w:t>设施设备证明材料；</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2、</w:t>
            </w:r>
            <w:r>
              <w:rPr>
                <w:rFonts w:hint="eastAsia" w:ascii="宋体" w:hAnsi="宋体" w:eastAsia="宋体" w:cs="Times New Roman"/>
                <w:color w:val="000000"/>
                <w:kern w:val="0"/>
                <w:sz w:val="24"/>
                <w:szCs w:val="24"/>
                <w:highlight w:val="none"/>
              </w:rPr>
              <w:t>提供履行本项目合同所必须的项目管理和技术团队人员信息资料。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4</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有依法缴纳税收和社会保障资金的良好记录；</w:t>
            </w:r>
          </w:p>
        </w:tc>
        <w:tc>
          <w:tcPr>
            <w:tcW w:w="7087" w:type="dxa"/>
            <w:vAlign w:val="center"/>
          </w:tcPr>
          <w:p>
            <w:pPr>
              <w:adjustRightInd w:val="0"/>
              <w:snapToGrid w:val="0"/>
              <w:jc w:val="left"/>
              <w:rPr>
                <w:rFonts w:hint="eastAsia" w:asciiTheme="minorEastAsia" w:hAnsiTheme="minorEastAsia" w:eastAsiaTheme="minorEastAsia"/>
                <w:sz w:val="24"/>
                <w:szCs w:val="24"/>
                <w:highlight w:val="none"/>
                <w:lang w:eastAsia="zh-CN"/>
              </w:rPr>
            </w:pPr>
            <w:r>
              <w:rPr>
                <w:rFonts w:hint="eastAsia" w:asciiTheme="minorEastAsia" w:hAnsiTheme="minorEastAsia"/>
                <w:sz w:val="24"/>
                <w:szCs w:val="24"/>
                <w:highlight w:val="none"/>
              </w:rPr>
              <w:t>近六个月（</w:t>
            </w:r>
            <w:r>
              <w:rPr>
                <w:rFonts w:hint="eastAsia" w:asciiTheme="minorEastAsia" w:hAnsiTheme="minorEastAsia"/>
                <w:sz w:val="24"/>
                <w:szCs w:val="24"/>
                <w:highlight w:val="none"/>
                <w:lang w:eastAsia="zh-CN"/>
              </w:rPr>
              <w:t>202</w:t>
            </w:r>
            <w:r>
              <w:rPr>
                <w:rFonts w:hint="eastAsia" w:asciiTheme="minorEastAsia" w:hAnsiTheme="minorEastAsia"/>
                <w:sz w:val="24"/>
                <w:szCs w:val="24"/>
                <w:highlight w:val="none"/>
                <w:lang w:val="en-US" w:eastAsia="zh-CN"/>
              </w:rPr>
              <w:t>1</w:t>
            </w:r>
            <w:r>
              <w:rPr>
                <w:rFonts w:hint="eastAsia" w:asciiTheme="minorEastAsia" w:hAnsiTheme="minorEastAsia"/>
                <w:sz w:val="24"/>
                <w:szCs w:val="24"/>
                <w:highlight w:val="none"/>
              </w:rPr>
              <w:t>年</w:t>
            </w:r>
            <w:r>
              <w:rPr>
                <w:rFonts w:hint="eastAsia" w:asciiTheme="minorEastAsia" w:hAnsiTheme="minorEastAsia"/>
                <w:sz w:val="24"/>
                <w:szCs w:val="24"/>
                <w:highlight w:val="none"/>
                <w:lang w:val="en-US" w:eastAsia="zh-CN"/>
              </w:rPr>
              <w:t>2</w:t>
            </w:r>
            <w:r>
              <w:rPr>
                <w:rFonts w:hint="eastAsia" w:asciiTheme="minorEastAsia" w:hAnsiTheme="minorEastAsia"/>
                <w:sz w:val="24"/>
                <w:szCs w:val="24"/>
                <w:highlight w:val="none"/>
              </w:rPr>
              <w:t>月至今）任意一个月依法缴纳税收</w:t>
            </w:r>
            <w:r>
              <w:rPr>
                <w:rFonts w:hint="eastAsia" w:asciiTheme="minorEastAsia" w:hAnsiTheme="minorEastAsia"/>
                <w:sz w:val="24"/>
                <w:szCs w:val="24"/>
                <w:highlight w:val="none"/>
                <w:lang w:eastAsia="zh-CN"/>
              </w:rPr>
              <w:t>和</w:t>
            </w:r>
            <w:r>
              <w:rPr>
                <w:rFonts w:hint="eastAsia" w:asciiTheme="minorEastAsia" w:hAnsiTheme="minorEastAsia"/>
                <w:sz w:val="24"/>
                <w:szCs w:val="24"/>
                <w:highlight w:val="none"/>
              </w:rPr>
              <w:t>社会保障资金的证明材料</w:t>
            </w:r>
            <w:r>
              <w:rPr>
                <w:rFonts w:hint="eastAsia" w:asciiTheme="minorEastAsia" w:hAnsiTheme="minorEastAsia"/>
                <w:sz w:val="24"/>
                <w:szCs w:val="24"/>
                <w:highlight w:val="none"/>
                <w:lang w:eastAsia="zh-CN"/>
              </w:rPr>
              <w:t>。</w:t>
            </w:r>
          </w:p>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注：</w:t>
            </w:r>
            <w:r>
              <w:rPr>
                <w:rFonts w:hint="eastAsia" w:ascii="宋体" w:hAnsi="宋体" w:eastAsia="宋体" w:cs="Times New Roman"/>
                <w:color w:val="000000"/>
                <w:kern w:val="0"/>
                <w:sz w:val="24"/>
                <w:szCs w:val="24"/>
                <w:highlight w:val="none"/>
              </w:rPr>
              <w:t>依法免税和不需要缴纳社会保险的供应商，应提供相应文件证明其依法免税和不需要缴纳社会保险。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5</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参加本次政府采购活动前三年内，在经营活动中没有重大违法记录；</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结合供应商自身实际商业信誉情况，须严格按照第七章“响应文件格式”的相关要求，提供“参加政府采购活动前三年内在经营活动中无重大违法记录声明函”。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6</w:t>
            </w:r>
          </w:p>
        </w:tc>
        <w:tc>
          <w:tcPr>
            <w:tcW w:w="1985" w:type="dxa"/>
            <w:vAlign w:val="center"/>
          </w:tcPr>
          <w:p>
            <w:pPr>
              <w:adjustRightInd w:val="0"/>
              <w:snapToGrid w:val="0"/>
              <w:jc w:val="center"/>
              <w:rPr>
                <w:rFonts w:asciiTheme="minorEastAsia" w:hAnsiTheme="minorEastAsia"/>
                <w:sz w:val="24"/>
                <w:szCs w:val="24"/>
                <w:highlight w:val="none"/>
              </w:rPr>
            </w:pPr>
            <w:r>
              <w:rPr>
                <w:rFonts w:hint="eastAsia" w:asciiTheme="minorEastAsia" w:hAnsiTheme="minorEastAsia"/>
                <w:sz w:val="24"/>
                <w:szCs w:val="24"/>
                <w:highlight w:val="none"/>
              </w:rPr>
              <w:t>法律、行政法规规定的其他条件。</w:t>
            </w:r>
          </w:p>
        </w:tc>
        <w:tc>
          <w:tcPr>
            <w:tcW w:w="7087" w:type="dxa"/>
            <w:vAlign w:val="center"/>
          </w:tcPr>
          <w:p>
            <w:pPr>
              <w:adjustRightInd w:val="0"/>
              <w:snapToGrid w:val="0"/>
              <w:jc w:val="left"/>
              <w:rPr>
                <w:rFonts w:asciiTheme="minorEastAsia" w:hAnsiTheme="minorEastAsia"/>
                <w:sz w:val="24"/>
                <w:szCs w:val="24"/>
                <w:highlight w:val="none"/>
              </w:rPr>
            </w:pPr>
            <w:r>
              <w:rPr>
                <w:rFonts w:hint="eastAsia" w:asciiTheme="minorEastAsia" w:hAnsiTheme="minorEastAsia"/>
                <w:sz w:val="24"/>
                <w:szCs w:val="24"/>
                <w:highlight w:val="none"/>
              </w:rPr>
              <w:t>国家对生产和销售相关产品或提供相关服务有专门法律、行政法规规定的，则必须提供取得国家有关主管部门行政许可的证明材料。</w:t>
            </w:r>
          </w:p>
        </w:tc>
      </w:tr>
    </w:tbl>
    <w:p>
      <w:pPr>
        <w:rPr>
          <w:highlight w:val="none"/>
        </w:rPr>
      </w:pPr>
    </w:p>
    <w:bookmarkEnd w:id="98"/>
    <w:p>
      <w:pPr>
        <w:pStyle w:val="5"/>
        <w:rPr>
          <w:sz w:val="30"/>
          <w:szCs w:val="30"/>
          <w:highlight w:val="none"/>
        </w:rPr>
      </w:pPr>
      <w:bookmarkStart w:id="99" w:name="_Toc65158804"/>
      <w:bookmarkStart w:id="100" w:name="_Toc38457854"/>
      <w:r>
        <w:rPr>
          <w:rFonts w:hint="eastAsia"/>
          <w:sz w:val="30"/>
          <w:szCs w:val="30"/>
          <w:highlight w:val="none"/>
        </w:rPr>
        <w:t>符合性审查</w:t>
      </w:r>
      <w:bookmarkEnd w:id="99"/>
      <w:bookmarkEnd w:id="100"/>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2.</w:t>
      </w:r>
      <w:r>
        <w:rPr>
          <w:rFonts w:ascii="宋体" w:hAnsi="宋体" w:eastAsia="宋体"/>
          <w:sz w:val="24"/>
          <w:szCs w:val="24"/>
          <w:highlight w:val="none"/>
        </w:rPr>
        <w:t xml:space="preserve">1 </w:t>
      </w:r>
      <w:r>
        <w:rPr>
          <w:rFonts w:hint="eastAsia" w:ascii="宋体" w:hAnsi="宋体" w:eastAsia="宋体"/>
          <w:sz w:val="24"/>
          <w:szCs w:val="24"/>
          <w:highlight w:val="none"/>
        </w:rPr>
        <w:t>磋商小组应当对符合资格的供应商的竞争性磋商响应文件进行符合性审查，以确定其是否满足竞争性磋商文件的实质性要求。符合性审查出现下列情形之一的其磋商文件按无效响应处理：</w:t>
      </w:r>
    </w:p>
    <w:p>
      <w:pPr>
        <w:jc w:val="center"/>
        <w:rPr>
          <w:b/>
          <w:bCs/>
          <w:sz w:val="28"/>
          <w:szCs w:val="28"/>
          <w:highlight w:val="none"/>
        </w:rPr>
      </w:pPr>
      <w:bookmarkStart w:id="101" w:name="_Hlk38452532"/>
      <w:r>
        <w:rPr>
          <w:rFonts w:hint="eastAsia"/>
          <w:b/>
          <w:bCs/>
          <w:sz w:val="28"/>
          <w:szCs w:val="28"/>
          <w:highlight w:val="none"/>
        </w:rPr>
        <w:t>符合性审查表</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6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704" w:type="dxa"/>
            <w:shd w:val="clear" w:color="auto" w:fill="BEBEBE" w:themeFill="background1" w:themeFillShade="BF"/>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序号</w:t>
            </w:r>
          </w:p>
        </w:tc>
        <w:tc>
          <w:tcPr>
            <w:tcW w:w="1276" w:type="dxa"/>
            <w:shd w:val="clear" w:color="auto" w:fill="BEBEBE" w:themeFill="background1" w:themeFillShade="BF"/>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条款名称</w:t>
            </w:r>
          </w:p>
        </w:tc>
        <w:tc>
          <w:tcPr>
            <w:tcW w:w="6910" w:type="dxa"/>
            <w:shd w:val="clear" w:color="auto" w:fill="BEBEBE" w:themeFill="background1" w:themeFillShade="BF"/>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具体情形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1</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磋商报价</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磋商报价超过项目（分包）预算金额或最高限价的、或磋商报价存在缺项、漏项的；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2</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格式文件</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《磋商函》《报价一览表》、《法定代表人资格证明书》、《法定代表人授权委托书》和《报价明细表》未提供或不符合竞争性磋商文件要求的；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3</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相关期限</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合同履行期限不符合竞争性磋商文件要求的；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4</w:t>
            </w:r>
          </w:p>
        </w:tc>
        <w:tc>
          <w:tcPr>
            <w:tcW w:w="1276" w:type="dxa"/>
            <w:vAlign w:val="center"/>
          </w:tcPr>
          <w:p>
            <w:pPr>
              <w:jc w:val="center"/>
              <w:rPr>
                <w:rFonts w:ascii="宋体" w:hAnsi="宋体" w:eastAsia="宋体"/>
                <w:sz w:val="24"/>
                <w:szCs w:val="24"/>
                <w:highlight w:val="none"/>
              </w:rPr>
            </w:pPr>
            <w:r>
              <w:rPr>
                <w:rFonts w:hint="eastAsia" w:cs="宋体" w:asciiTheme="minorEastAsia" w:hAnsiTheme="minorEastAsia"/>
                <w:color w:val="000000" w:themeColor="text1"/>
                <w:kern w:val="0"/>
                <w:sz w:val="24"/>
                <w:szCs w:val="24"/>
                <w:highlight w:val="none"/>
                <w14:textFill>
                  <w14:solidFill>
                    <w14:schemeClr w14:val="tx1"/>
                  </w14:solidFill>
                </w14:textFill>
              </w:rPr>
              <w:t>所投标的</w:t>
            </w:r>
          </w:p>
        </w:tc>
        <w:tc>
          <w:tcPr>
            <w:tcW w:w="6910" w:type="dxa"/>
            <w:vAlign w:val="center"/>
          </w:tcPr>
          <w:p>
            <w:pPr>
              <w:jc w:val="left"/>
              <w:rPr>
                <w:rFonts w:ascii="宋体" w:hAnsi="宋体" w:eastAsia="宋体"/>
                <w:sz w:val="24"/>
                <w:szCs w:val="24"/>
                <w:highlight w:val="none"/>
              </w:rPr>
            </w:pPr>
            <w:r>
              <w:rPr>
                <w:rFonts w:hint="eastAsia" w:cs="宋体" w:asciiTheme="minorEastAsia" w:hAnsiTheme="minorEastAsia"/>
                <w:color w:val="000000" w:themeColor="text1"/>
                <w:kern w:val="0"/>
                <w:sz w:val="24"/>
                <w:szCs w:val="24"/>
                <w:highlight w:val="none"/>
                <w14:textFill>
                  <w14:solidFill>
                    <w14:schemeClr w14:val="tx1"/>
                  </w14:solidFill>
                </w14:textFill>
              </w:rPr>
              <w:t>所投标的是否存在重大负偏离；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5</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技术方案</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出现两个或两个以上技术方案的（竞争性磋商文件中要求提供备选方案的除外）；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6</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有效期</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磋商有效期不满足竞争性磋商文件要求的；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7</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签署授权</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无法定代表人签字（签章）或签字人无法定代表人有效授权的；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8</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正本签章</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正本未按要求提供加盖公章及签字（签章）原件的；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9</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需求响应</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未提供所投服务的具体参数值或功能表述，或原文复制竞争性磋商文件的技术规格相关部分内容作为其竞争性磋商响应文件的一部分的，或不满足竞争性磋商文件第三章“项目技术、服务和商务要求”中“★”号条款要求的（如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0</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附加条件</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4"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1</w:t>
            </w:r>
            <w:r>
              <w:rPr>
                <w:rFonts w:ascii="宋体" w:hAnsi="宋体" w:eastAsia="宋体"/>
                <w:sz w:val="24"/>
                <w:szCs w:val="24"/>
                <w:highlight w:val="none"/>
              </w:rPr>
              <w:t>1</w:t>
            </w:r>
          </w:p>
        </w:tc>
        <w:tc>
          <w:tcPr>
            <w:tcW w:w="1276" w:type="dxa"/>
            <w:vAlign w:val="center"/>
          </w:tcPr>
          <w:p>
            <w:pPr>
              <w:jc w:val="center"/>
              <w:rPr>
                <w:rFonts w:ascii="宋体" w:hAnsi="宋体" w:eastAsia="宋体"/>
                <w:sz w:val="24"/>
                <w:szCs w:val="24"/>
                <w:highlight w:val="none"/>
              </w:rPr>
            </w:pPr>
            <w:r>
              <w:rPr>
                <w:rFonts w:hint="eastAsia" w:ascii="宋体" w:hAnsi="宋体" w:eastAsia="宋体"/>
                <w:sz w:val="24"/>
                <w:szCs w:val="24"/>
                <w:highlight w:val="none"/>
              </w:rPr>
              <w:t>其他情形</w:t>
            </w:r>
          </w:p>
        </w:tc>
        <w:tc>
          <w:tcPr>
            <w:tcW w:w="6910" w:type="dxa"/>
            <w:vAlign w:val="center"/>
          </w:tcPr>
          <w:p>
            <w:pPr>
              <w:jc w:val="left"/>
              <w:rPr>
                <w:rFonts w:ascii="宋体" w:hAnsi="宋体" w:eastAsia="宋体"/>
                <w:sz w:val="24"/>
                <w:szCs w:val="24"/>
                <w:highlight w:val="none"/>
              </w:rPr>
            </w:pPr>
            <w:r>
              <w:rPr>
                <w:rFonts w:hint="eastAsia" w:ascii="宋体" w:hAnsi="宋体" w:eastAsia="宋体"/>
                <w:sz w:val="24"/>
                <w:szCs w:val="24"/>
                <w:highlight w:val="none"/>
              </w:rPr>
              <w:t>1、法律、法规和本文件规定的其他无效响应情形。</w:t>
            </w:r>
          </w:p>
          <w:p>
            <w:pPr>
              <w:jc w:val="left"/>
              <w:rPr>
                <w:rFonts w:ascii="宋体" w:hAnsi="宋体" w:eastAsia="宋体"/>
                <w:sz w:val="24"/>
                <w:szCs w:val="24"/>
                <w:highlight w:val="none"/>
              </w:rPr>
            </w:pPr>
            <w:r>
              <w:rPr>
                <w:rFonts w:hint="eastAsia" w:ascii="宋体" w:hAnsi="宋体" w:eastAsia="宋体"/>
                <w:sz w:val="24"/>
                <w:szCs w:val="24"/>
                <w:highlight w:val="none"/>
              </w:rPr>
              <w:t>2、未按要求提供本文件第二章“注意事项”小节中规定的书面声明的。</w:t>
            </w:r>
          </w:p>
        </w:tc>
      </w:tr>
      <w:bookmarkEnd w:id="101"/>
    </w:tbl>
    <w:p>
      <w:pPr>
        <w:rPr>
          <w:highlight w:val="none"/>
        </w:rPr>
      </w:pP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 xml:space="preserve">2 </w:t>
      </w:r>
      <w:r>
        <w:rPr>
          <w:rFonts w:hint="eastAsia" w:ascii="宋体" w:hAnsi="宋体" w:eastAsia="宋体"/>
          <w:sz w:val="24"/>
          <w:szCs w:val="24"/>
          <w:highlight w:val="none"/>
        </w:rPr>
        <w:t>重大负偏离是指供应商所提供的货物（或服务）明显不能满足竞争性谈判文件的要求。重大负偏离的认定需经评标委员会三分之二以上成员的同意，存在重大负偏离的响应文件将被做无效响应处理。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 xml:space="preserve">3 </w:t>
      </w:r>
      <w:r>
        <w:rPr>
          <w:rFonts w:hint="eastAsia" w:ascii="宋体" w:hAnsi="宋体" w:eastAsia="宋体"/>
          <w:sz w:val="24"/>
          <w:szCs w:val="24"/>
          <w:highlight w:val="none"/>
        </w:rPr>
        <w:t>符合上述要求的供应商进入谈判，不符合要求的供应商响应无效、退出谈判。</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2</w:t>
      </w:r>
      <w:r>
        <w:rPr>
          <w:rFonts w:hint="eastAsia" w:ascii="宋体" w:hAnsi="宋体" w:eastAsia="宋体"/>
          <w:sz w:val="24"/>
          <w:szCs w:val="24"/>
          <w:highlight w:val="none"/>
        </w:rPr>
        <w:t>.</w:t>
      </w:r>
      <w:r>
        <w:rPr>
          <w:rFonts w:ascii="宋体" w:hAnsi="宋体" w:eastAsia="宋体"/>
          <w:sz w:val="24"/>
          <w:szCs w:val="24"/>
          <w:highlight w:val="none"/>
        </w:rPr>
        <w:t>4 谈判小组应当对响应文件进行</w:t>
      </w:r>
      <w:r>
        <w:rPr>
          <w:rFonts w:hint="eastAsia" w:ascii="宋体" w:hAnsi="宋体" w:eastAsia="宋体"/>
          <w:sz w:val="24"/>
          <w:szCs w:val="24"/>
          <w:highlight w:val="none"/>
        </w:rPr>
        <w:t>商务评审和技术评审</w:t>
      </w:r>
      <w:r>
        <w:rPr>
          <w:rFonts w:ascii="宋体" w:hAnsi="宋体" w:eastAsia="宋体"/>
          <w:sz w:val="24"/>
          <w:szCs w:val="24"/>
          <w:highlight w:val="none"/>
        </w:rPr>
        <w:t>，并根据谈判文件规定的程序、评定成交的标准等事项与实质性响应谈判文件要求的供应商进行谈判。未实质性响应谈判文件的响应文件按无效响应处理，谈判小组应当告知有关供应商</w:t>
      </w:r>
      <w:r>
        <w:rPr>
          <w:rFonts w:hint="eastAsia" w:ascii="宋体" w:hAnsi="宋体" w:eastAsia="宋体"/>
          <w:sz w:val="24"/>
          <w:szCs w:val="24"/>
          <w:highlight w:val="none"/>
        </w:rPr>
        <w:t>。</w:t>
      </w:r>
    </w:p>
    <w:p>
      <w:pPr>
        <w:rPr>
          <w:highlight w:val="none"/>
        </w:rPr>
      </w:pPr>
    </w:p>
    <w:p>
      <w:pPr>
        <w:pStyle w:val="5"/>
        <w:rPr>
          <w:sz w:val="30"/>
          <w:szCs w:val="30"/>
          <w:highlight w:val="none"/>
        </w:rPr>
      </w:pPr>
      <w:bookmarkStart w:id="102" w:name="_Toc65158805"/>
      <w:r>
        <w:rPr>
          <w:rFonts w:hint="eastAsia"/>
          <w:sz w:val="30"/>
          <w:szCs w:val="30"/>
          <w:highlight w:val="none"/>
        </w:rPr>
        <w:t>磋商及报价</w:t>
      </w:r>
      <w:bookmarkEnd w:id="102"/>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3.1 </w:t>
      </w:r>
      <w:r>
        <w:rPr>
          <w:rFonts w:hint="eastAsia" w:ascii="宋体" w:hAnsi="宋体" w:eastAsia="宋体"/>
          <w:sz w:val="24"/>
          <w:szCs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3.2 </w:t>
      </w:r>
      <w:r>
        <w:rPr>
          <w:rFonts w:hint="eastAsia" w:ascii="宋体" w:hAnsi="宋体" w:eastAsia="宋体"/>
          <w:sz w:val="24"/>
          <w:szCs w:val="24"/>
          <w:highlight w:val="none"/>
        </w:rPr>
        <w:t>磋商小组所有成员集中与单一供应商分别进行磋商，并给予所有参加磋商的供应商平等的磋商机会。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供应商应当按照磋商文件的变动情况和磋商小组的要求重新提交响应修正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3.3 </w:t>
      </w:r>
      <w:r>
        <w:rPr>
          <w:rFonts w:hint="eastAsia" w:ascii="宋体" w:hAnsi="宋体" w:eastAsia="宋体"/>
          <w:sz w:val="24"/>
          <w:szCs w:val="24"/>
          <w:highlight w:val="none"/>
        </w:rPr>
        <w:t>竞争性磋商响应文件报价出现前后不一致的，按照下列规定修正：</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3.</w:t>
      </w:r>
      <w:r>
        <w:rPr>
          <w:rFonts w:hint="eastAsia" w:ascii="宋体" w:hAnsi="宋体" w:eastAsia="宋体"/>
          <w:sz w:val="24"/>
          <w:szCs w:val="24"/>
          <w:highlight w:val="none"/>
        </w:rPr>
        <w:t>3.</w:t>
      </w:r>
      <w:r>
        <w:rPr>
          <w:rFonts w:ascii="宋体" w:hAnsi="宋体" w:eastAsia="宋体"/>
          <w:sz w:val="24"/>
          <w:szCs w:val="24"/>
          <w:highlight w:val="none"/>
        </w:rPr>
        <w:t>1</w:t>
      </w:r>
      <w:r>
        <w:rPr>
          <w:rFonts w:hint="eastAsia" w:ascii="宋体" w:hAnsi="宋体" w:eastAsia="宋体"/>
          <w:sz w:val="24"/>
          <w:szCs w:val="24"/>
          <w:highlight w:val="none"/>
        </w:rPr>
        <w:t xml:space="preserve"> 大写金额和小写金额不一致的，以大写金额为准。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3.</w:t>
      </w:r>
      <w:r>
        <w:rPr>
          <w:rFonts w:hint="eastAsia" w:ascii="宋体" w:hAnsi="宋体" w:eastAsia="宋体"/>
          <w:sz w:val="24"/>
          <w:szCs w:val="24"/>
          <w:highlight w:val="none"/>
        </w:rPr>
        <w:t>3.</w:t>
      </w:r>
      <w:r>
        <w:rPr>
          <w:rFonts w:ascii="宋体" w:hAnsi="宋体" w:eastAsia="宋体"/>
          <w:sz w:val="24"/>
          <w:szCs w:val="24"/>
          <w:highlight w:val="none"/>
        </w:rPr>
        <w:t>2</w:t>
      </w:r>
      <w:r>
        <w:rPr>
          <w:rFonts w:hint="eastAsia" w:ascii="宋体" w:hAnsi="宋体" w:eastAsia="宋体"/>
          <w:sz w:val="24"/>
          <w:szCs w:val="24"/>
          <w:highlight w:val="none"/>
        </w:rPr>
        <w:t xml:space="preserve"> 单价金额小数点或者百分比有明显错位的，以报价一览表的总价为准，并修改单价。</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3.3.</w:t>
      </w:r>
      <w:r>
        <w:rPr>
          <w:rFonts w:ascii="宋体" w:hAnsi="宋体" w:eastAsia="宋体"/>
          <w:sz w:val="24"/>
          <w:szCs w:val="24"/>
          <w:highlight w:val="none"/>
        </w:rPr>
        <w:t>3</w:t>
      </w:r>
      <w:r>
        <w:rPr>
          <w:rFonts w:hint="eastAsia" w:ascii="宋体" w:hAnsi="宋体" w:eastAsia="宋体"/>
          <w:sz w:val="24"/>
          <w:szCs w:val="24"/>
          <w:highlight w:val="none"/>
        </w:rPr>
        <w:t xml:space="preserve"> 总价金额与按单价汇总金额不一致的，以单价金额计算结果为准。</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3.3.</w:t>
      </w:r>
      <w:r>
        <w:rPr>
          <w:rFonts w:ascii="宋体" w:hAnsi="宋体" w:eastAsia="宋体"/>
          <w:sz w:val="24"/>
          <w:szCs w:val="24"/>
          <w:highlight w:val="none"/>
        </w:rPr>
        <w:t>4</w:t>
      </w:r>
      <w:r>
        <w:rPr>
          <w:rFonts w:hint="eastAsia" w:ascii="宋体" w:hAnsi="宋体" w:eastAsia="宋体"/>
          <w:sz w:val="24"/>
          <w:szCs w:val="24"/>
          <w:highlight w:val="none"/>
        </w:rPr>
        <w:t xml:space="preserve"> 同时出现两种以上不一致的，按照前款规定的顺序修正。</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3.3.</w:t>
      </w:r>
      <w:r>
        <w:rPr>
          <w:rFonts w:ascii="宋体" w:hAnsi="宋体" w:eastAsia="宋体"/>
          <w:sz w:val="24"/>
          <w:szCs w:val="24"/>
          <w:highlight w:val="none"/>
        </w:rPr>
        <w:t>5</w:t>
      </w:r>
      <w:r>
        <w:rPr>
          <w:rFonts w:hint="eastAsia" w:ascii="宋体" w:hAnsi="宋体" w:eastAsia="宋体"/>
          <w:sz w:val="24"/>
          <w:szCs w:val="24"/>
          <w:highlight w:val="none"/>
        </w:rPr>
        <w:t xml:space="preserve"> 修正后的报价按照本节第4条规定经供应商确认后产生约束力，供应商不确认的，按照无效响应处理。</w:t>
      </w: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3.</w:t>
      </w:r>
      <w:r>
        <w:rPr>
          <w:rFonts w:ascii="宋体" w:hAnsi="宋体" w:eastAsia="宋体"/>
          <w:sz w:val="24"/>
          <w:szCs w:val="24"/>
          <w:highlight w:val="none"/>
        </w:rPr>
        <w:t>4</w:t>
      </w:r>
      <w:r>
        <w:rPr>
          <w:rFonts w:hint="eastAsia" w:ascii="宋体" w:hAnsi="宋体" w:eastAsia="宋体"/>
          <w:sz w:val="24"/>
          <w:szCs w:val="24"/>
          <w:highlight w:val="none"/>
        </w:rPr>
        <w:t xml:space="preserve"> 磋商结束后，磋商小组应当要求所有实质性响应的供应商在规定时间内提交最后报价，提交最后报价的供应商不得少于3家。最后报价是供应商响应文件的有效组成部分。采用竞争性磋商采购方式采购的政府购买服务项目（含政府和社会资本合作项目），在采购过程中符合要求的供应商（社会资本）只有2家的，竞争性磋商采购活动可以继续进行。市场竞争不充分的科研项目，以及需要扶持的科技成果转化项目，提交最后报价的供应商可以为2家。</w:t>
      </w:r>
    </w:p>
    <w:p>
      <w:pPr>
        <w:pStyle w:val="5"/>
        <w:rPr>
          <w:sz w:val="30"/>
          <w:szCs w:val="30"/>
          <w:highlight w:val="none"/>
        </w:rPr>
      </w:pPr>
      <w:bookmarkStart w:id="103" w:name="_Toc38457856"/>
      <w:bookmarkStart w:id="104" w:name="_Toc65158806"/>
      <w:r>
        <w:rPr>
          <w:rFonts w:hint="eastAsia"/>
          <w:sz w:val="30"/>
          <w:szCs w:val="30"/>
          <w:highlight w:val="none"/>
        </w:rPr>
        <w:t>综合评比</w:t>
      </w:r>
      <w:bookmarkEnd w:id="103"/>
      <w:bookmarkEnd w:id="104"/>
    </w:p>
    <w:p>
      <w:pPr>
        <w:spacing w:line="360" w:lineRule="auto"/>
        <w:ind w:firstLine="480" w:firstLineChars="200"/>
        <w:rPr>
          <w:rFonts w:ascii="宋体" w:hAnsi="宋体" w:eastAsia="宋体"/>
          <w:sz w:val="24"/>
          <w:szCs w:val="24"/>
          <w:highlight w:val="none"/>
        </w:rPr>
      </w:pPr>
      <w:bookmarkStart w:id="105" w:name="_Hlk65161047"/>
      <w:r>
        <w:rPr>
          <w:rFonts w:hint="eastAsia" w:ascii="宋体" w:hAnsi="宋体" w:eastAsia="宋体"/>
          <w:sz w:val="24"/>
          <w:szCs w:val="24"/>
          <w:highlight w:val="none"/>
        </w:rPr>
        <w:t>4.</w:t>
      </w:r>
      <w:r>
        <w:rPr>
          <w:rFonts w:ascii="宋体" w:hAnsi="宋体" w:eastAsia="宋体"/>
          <w:sz w:val="24"/>
          <w:szCs w:val="24"/>
          <w:highlight w:val="none"/>
        </w:rPr>
        <w:t xml:space="preserve">1 </w:t>
      </w:r>
      <w:r>
        <w:rPr>
          <w:rFonts w:hint="eastAsia" w:ascii="宋体" w:hAnsi="宋体" w:eastAsia="宋体"/>
          <w:sz w:val="24"/>
          <w:szCs w:val="24"/>
          <w:highlight w:val="none"/>
        </w:rPr>
        <w:t>磋商小组成员应当按照客观、公正、审慎的原则，根据磋商文件规定的评审程序、评审方法和评审标准进行独立评审。经磋商确定最终采购需求和提交最后报价的供应商后，由磋商小组采用综合评分法对提交最后报价的供应商的响应文件和最后报价进行综合评分。</w:t>
      </w:r>
    </w:p>
    <w:p>
      <w:pPr>
        <w:spacing w:line="360" w:lineRule="auto"/>
        <w:ind w:firstLine="480" w:firstLineChars="200"/>
        <w:rPr>
          <w:rFonts w:ascii="宋体" w:hAnsi="宋体" w:eastAsia="宋体"/>
          <w:sz w:val="24"/>
          <w:szCs w:val="24"/>
          <w:highlight w:val="none"/>
        </w:rPr>
      </w:pPr>
      <w:bookmarkStart w:id="106" w:name="_Hlk65152810"/>
      <w:r>
        <w:rPr>
          <w:rFonts w:ascii="宋体" w:hAnsi="宋体" w:eastAsia="宋体"/>
          <w:sz w:val="24"/>
          <w:szCs w:val="24"/>
          <w:highlight w:val="none"/>
        </w:rPr>
        <w:t xml:space="preserve">4.2 </w:t>
      </w:r>
      <w:r>
        <w:rPr>
          <w:rFonts w:hint="eastAsia" w:ascii="宋体" w:hAnsi="宋体" w:eastAsia="宋体"/>
          <w:sz w:val="24"/>
          <w:szCs w:val="24"/>
          <w:highlight w:val="none"/>
        </w:rPr>
        <w:t>商务评议。磋商小组对符合性审查合格的竞争性磋商响应文件进行评议，并依据本章“评审因素及评分标准”中的商务部分进行综合比较和评分。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4.3 </w:t>
      </w:r>
      <w:r>
        <w:rPr>
          <w:rFonts w:hint="eastAsia" w:ascii="宋体" w:hAnsi="宋体" w:eastAsia="宋体"/>
          <w:sz w:val="24"/>
          <w:szCs w:val="24"/>
          <w:highlight w:val="none"/>
        </w:rPr>
        <w:t>技术评议。磋商小组对符合性审查合格的竞争性磋商响应文件进行评议，并依据本章“评审因素及评分标准”中的技术部分进行综合比较和评分。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4.4 </w:t>
      </w:r>
      <w:r>
        <w:rPr>
          <w:rFonts w:hint="eastAsia" w:ascii="宋体" w:hAnsi="宋体" w:eastAsia="宋体"/>
          <w:sz w:val="24"/>
          <w:szCs w:val="24"/>
          <w:highlight w:val="none"/>
        </w:rPr>
        <w:t>价格评议</w:t>
      </w:r>
      <w:bookmarkStart w:id="107" w:name="_Hlk65150780"/>
      <w:bookmarkStart w:id="108" w:name="_Hlk65150709"/>
      <w:bookmarkStart w:id="109" w:name="_Toc38457857"/>
      <w:r>
        <w:rPr>
          <w:rFonts w:hint="eastAsia" w:ascii="宋体" w:hAnsi="宋体" w:eastAsia="宋体"/>
          <w:sz w:val="24"/>
          <w:szCs w:val="24"/>
          <w:highlight w:val="none"/>
        </w:rPr>
        <w:t>。磋商小组对符合性审查合格的竞争性磋商响应文件进行价格评议（执行国家统一定价标准和采用固定价格采购的项目，其价格不列为评审因素），价格分采用低价优先法计算，即满足竞争性磋商文件要求且最后报价（落实政府采购政策进行价格调整的，以调整后的价格计算）最低的磋商报价为评标基准价，其价格分为满分。其他供应商的价格分计算详见本章“评审因素及评分标准”中的具体计算公式。</w:t>
      </w:r>
    </w:p>
    <w:bookmarkEnd w:id="105"/>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4.5</w:t>
      </w:r>
      <w:r>
        <w:rPr>
          <w:rFonts w:hint="eastAsia" w:ascii="宋体" w:hAnsi="宋体" w:eastAsia="宋体"/>
          <w:sz w:val="24"/>
          <w:szCs w:val="24"/>
          <w:highlight w:val="none"/>
        </w:rPr>
        <w:t xml:space="preserve"> 报价合理性说明。磋商小组认为供应商的磋商报价不合理或明显低于其他供应商磋商报价或者明显低于采购限价，使得其磋商报价可能低于其个别成本的，磋商小组有权要求该供应商在规定的时间内现场作合理的说明，供应商现场不能合理说明或者不能提供有效证明材料的，其报价将按无效响应处理。</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w:t>
      </w:r>
      <w:r>
        <w:rPr>
          <w:rFonts w:hint="eastAsia" w:ascii="宋体" w:hAnsi="宋体" w:eastAsia="宋体"/>
          <w:sz w:val="24"/>
          <w:szCs w:val="24"/>
          <w:highlight w:val="none"/>
        </w:rPr>
        <w:t xml:space="preserve"> 小型和微型企业、监狱企业、残疾人福利性单位价格扣除：</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4.6.1</w:t>
      </w:r>
      <w:r>
        <w:rPr>
          <w:rFonts w:hint="eastAsia" w:ascii="宋体" w:hAnsi="宋体" w:eastAsia="宋体"/>
          <w:sz w:val="24"/>
          <w:szCs w:val="24"/>
          <w:highlight w:val="none"/>
        </w:rPr>
        <w:t xml:space="preserve"> 非专门面向中小企业的服务类采购项目，供应商是小型和微型企业的价格给予6%的扣除，用扣除后的价格参与评审。</w:t>
      </w:r>
      <w:r>
        <w:rPr>
          <w:rFonts w:hint="eastAsia" w:ascii="宋体" w:hAnsi="宋体" w:eastAsia="宋体"/>
          <w:b/>
          <w:bCs/>
          <w:sz w:val="24"/>
          <w:szCs w:val="24"/>
          <w:highlight w:val="none"/>
        </w:rPr>
        <w:t>供应商须提供“中小企业声明函”和“中小企业划型标准”表中指明的相关数据的证明材料，否则不予认可。</w:t>
      </w:r>
      <w:r>
        <w:rPr>
          <w:rFonts w:hint="eastAsia" w:ascii="宋体" w:hAnsi="宋体" w:eastAsia="宋体"/>
          <w:sz w:val="24"/>
          <w:szCs w:val="24"/>
          <w:highlight w:val="none"/>
        </w:rPr>
        <w:t>具体格式和要求详见本竞争性磋商文件第七章“相关附件及要求”相应内容。</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4.6.2</w:t>
      </w:r>
      <w:r>
        <w:rPr>
          <w:rFonts w:hint="eastAsia" w:ascii="宋体" w:hAnsi="宋体" w:eastAsia="宋体"/>
          <w:sz w:val="24"/>
          <w:szCs w:val="24"/>
          <w:highlight w:val="none"/>
        </w:rPr>
        <w:t xml:space="preserve"> 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3%的价格扣除，不重复享受政策。</w:t>
      </w:r>
      <w:bookmarkStart w:id="110" w:name="_Hlk65153564"/>
      <w:r>
        <w:rPr>
          <w:rFonts w:hint="eastAsia" w:ascii="宋体" w:hAnsi="宋体" w:eastAsia="宋体"/>
          <w:b/>
          <w:bCs/>
          <w:sz w:val="24"/>
          <w:szCs w:val="24"/>
          <w:highlight w:val="none"/>
        </w:rPr>
        <w:t>须提供相应磋商主体的“中小企业声明函”和“中小企业划型标准”表中指明的相关数据的证明材料，以及协议合同金额占比说明，否则不予认可。</w:t>
      </w:r>
      <w:r>
        <w:rPr>
          <w:rFonts w:hint="eastAsia" w:ascii="宋体" w:hAnsi="宋体" w:eastAsia="宋体"/>
          <w:sz w:val="24"/>
          <w:szCs w:val="24"/>
          <w:highlight w:val="none"/>
        </w:rPr>
        <w:t>具体格式和要求详见本竞争性磋商文件第七章“相关附件及要求”相应内容。</w:t>
      </w:r>
      <w:bookmarkEnd w:id="110"/>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4.6.3</w:t>
      </w:r>
      <w:r>
        <w:rPr>
          <w:rFonts w:hint="eastAsia" w:ascii="宋体" w:hAnsi="宋体" w:eastAsia="宋体"/>
          <w:sz w:val="24"/>
          <w:szCs w:val="24"/>
          <w:highlight w:val="none"/>
        </w:rPr>
        <w:t xml:space="preserve"> 监狱企业、残疾人福利性单位视同小型、微型企业，享受预留份额、评审中价格扣除等政府采购促进中小企业发展的政府采购政策，残疾人福利性单位属于小型、微型企业的，不重复享受政策。</w:t>
      </w:r>
    </w:p>
    <w:bookmarkEnd w:id="107"/>
    <w:bookmarkEnd w:id="108"/>
    <w:p>
      <w:pPr>
        <w:spacing w:line="360" w:lineRule="auto"/>
        <w:ind w:firstLine="480" w:firstLineChars="200"/>
        <w:rPr>
          <w:rFonts w:ascii="宋体" w:hAnsi="宋体" w:eastAsia="宋体"/>
          <w:sz w:val="24"/>
          <w:szCs w:val="24"/>
          <w:highlight w:val="none"/>
        </w:rPr>
      </w:pPr>
      <w:bookmarkStart w:id="111" w:name="_Hlk65149056"/>
      <w:bookmarkStart w:id="112" w:name="_Hlk65153786"/>
      <w:r>
        <w:rPr>
          <w:rFonts w:ascii="宋体" w:hAnsi="宋体" w:eastAsia="宋体"/>
          <w:sz w:val="24"/>
          <w:szCs w:val="24"/>
          <w:highlight w:val="none"/>
        </w:rPr>
        <w:t>4.7</w:t>
      </w:r>
      <w:r>
        <w:rPr>
          <w:rFonts w:hint="eastAsia" w:ascii="宋体" w:hAnsi="宋体" w:eastAsia="宋体"/>
          <w:sz w:val="24"/>
          <w:szCs w:val="24"/>
          <w:highlight w:val="none"/>
        </w:rPr>
        <w:t xml:space="preserve"> 计分办法</w:t>
      </w:r>
    </w:p>
    <w:bookmarkEnd w:id="111"/>
    <w:p>
      <w:pPr>
        <w:spacing w:line="360" w:lineRule="auto"/>
        <w:ind w:firstLine="480" w:firstLineChars="200"/>
        <w:rPr>
          <w:rFonts w:ascii="宋体" w:hAnsi="宋体" w:eastAsia="宋体"/>
          <w:sz w:val="24"/>
          <w:szCs w:val="24"/>
          <w:highlight w:val="none"/>
        </w:rPr>
      </w:pPr>
      <w:bookmarkStart w:id="113" w:name="_Hlk65149087"/>
      <w:r>
        <w:rPr>
          <w:rFonts w:ascii="宋体" w:hAnsi="宋体" w:eastAsia="宋体"/>
          <w:sz w:val="24"/>
          <w:szCs w:val="24"/>
          <w:highlight w:val="none"/>
        </w:rPr>
        <w:t>4.7</w:t>
      </w:r>
      <w:r>
        <w:rPr>
          <w:rFonts w:hint="eastAsia" w:ascii="宋体" w:hAnsi="宋体" w:eastAsia="宋体"/>
          <w:sz w:val="24"/>
          <w:szCs w:val="24"/>
          <w:highlight w:val="none"/>
        </w:rPr>
        <w:t>.1 代理机构对磋商小组的评分进行复核，统计结果精确到小数点后两位。</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4.7</w:t>
      </w:r>
      <w:r>
        <w:rPr>
          <w:rFonts w:hint="eastAsia" w:ascii="宋体" w:hAnsi="宋体" w:eastAsia="宋体"/>
          <w:sz w:val="24"/>
          <w:szCs w:val="24"/>
          <w:highlight w:val="none"/>
        </w:rPr>
        <w:t>.2 各供应商的最终得分为评委所评定分数的算术平均值。</w:t>
      </w:r>
    </w:p>
    <w:bookmarkEnd w:id="112"/>
    <w:bookmarkEnd w:id="113"/>
    <w:p>
      <w:pPr>
        <w:pStyle w:val="5"/>
        <w:rPr>
          <w:sz w:val="30"/>
          <w:szCs w:val="30"/>
          <w:highlight w:val="none"/>
        </w:rPr>
      </w:pPr>
      <w:bookmarkStart w:id="114" w:name="_Toc65158807"/>
      <w:r>
        <w:rPr>
          <w:rFonts w:hint="eastAsia"/>
          <w:sz w:val="30"/>
          <w:szCs w:val="30"/>
          <w:highlight w:val="none"/>
        </w:rPr>
        <w:t>确定名单</w:t>
      </w:r>
      <w:bookmarkEnd w:id="109"/>
      <w:bookmarkEnd w:id="114"/>
    </w:p>
    <w:p>
      <w:pPr>
        <w:spacing w:line="360" w:lineRule="auto"/>
        <w:ind w:firstLine="480" w:firstLineChars="200"/>
        <w:rPr>
          <w:rFonts w:ascii="宋体" w:hAnsi="宋体" w:eastAsia="宋体"/>
          <w:sz w:val="24"/>
          <w:szCs w:val="24"/>
          <w:highlight w:val="none"/>
        </w:rPr>
      </w:pPr>
      <w:bookmarkStart w:id="115" w:name="_Toc511894519"/>
      <w:bookmarkStart w:id="116" w:name="_Toc494561963"/>
      <w:r>
        <w:rPr>
          <w:rFonts w:ascii="宋体" w:hAnsi="宋体" w:eastAsia="宋体"/>
          <w:sz w:val="24"/>
          <w:szCs w:val="24"/>
          <w:highlight w:val="none"/>
        </w:rPr>
        <w:t xml:space="preserve">5.1 </w:t>
      </w:r>
      <w:r>
        <w:rPr>
          <w:rFonts w:hint="eastAsia" w:ascii="宋体" w:hAnsi="宋体" w:eastAsia="宋体"/>
          <w:sz w:val="24"/>
          <w:szCs w:val="24"/>
          <w:highlight w:val="none"/>
        </w:rPr>
        <w:t>评审结果按评审后得分由高到低顺序排列。评审得分相同的，按照最后报价由低到高的顺序推荐。评审得分且最后报价相同的，按照技术指标优劣顺序推荐。</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5.2 </w:t>
      </w:r>
      <w:r>
        <w:rPr>
          <w:rFonts w:hint="eastAsia" w:ascii="宋体" w:hAnsi="宋体" w:eastAsia="宋体"/>
          <w:sz w:val="24"/>
          <w:szCs w:val="24"/>
          <w:highlight w:val="none"/>
        </w:rPr>
        <w:t>磋商小组依据评审结果，按各供应商的评审后得分由高到低的顺序向采购人推荐得分前三名的进入成交候选供应商名单，并形成书面的评审报告。</w:t>
      </w: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 xml:space="preserve">5.3 </w:t>
      </w:r>
      <w:r>
        <w:rPr>
          <w:rFonts w:hint="eastAsia" w:ascii="宋体" w:hAnsi="宋体" w:eastAsia="宋体"/>
          <w:sz w:val="24"/>
          <w:szCs w:val="24"/>
          <w:highlight w:val="none"/>
        </w:rPr>
        <w:t>磋商小组应当在评审报告上签字，对自己的评审意见承担法律责任。对评审报告有异议的，应当在评审报告上签署不同意见，并说明理由，否则视为同意评审报告。</w:t>
      </w:r>
    </w:p>
    <w:bookmarkEnd w:id="106"/>
    <w:p>
      <w:pPr>
        <w:widowControl/>
        <w:jc w:val="left"/>
        <w:rPr>
          <w:rFonts w:cs="Times New Roman" w:asciiTheme="majorEastAsia" w:hAnsiTheme="majorEastAsia" w:eastAsiaTheme="majorEastAsia"/>
          <w:b/>
          <w:sz w:val="30"/>
          <w:szCs w:val="30"/>
          <w:highlight w:val="none"/>
          <w:lang w:val="zh-CN" w:eastAsia="zh-CN"/>
        </w:rPr>
      </w:pPr>
      <w:r>
        <w:rPr>
          <w:rFonts w:cs="Times New Roman" w:asciiTheme="majorEastAsia" w:hAnsiTheme="majorEastAsia"/>
          <w:bCs/>
          <w:sz w:val="30"/>
          <w:szCs w:val="30"/>
          <w:highlight w:val="none"/>
          <w:lang w:val="zh-CN" w:eastAsia="zh-CN"/>
        </w:rPr>
        <w:br w:type="page"/>
      </w:r>
    </w:p>
    <w:p>
      <w:pPr>
        <w:pStyle w:val="4"/>
        <w:jc w:val="center"/>
        <w:rPr>
          <w:sz w:val="32"/>
          <w:highlight w:val="none"/>
        </w:rPr>
      </w:pPr>
      <w:bookmarkStart w:id="117" w:name="_Toc38457858"/>
      <w:bookmarkStart w:id="118" w:name="_Toc2782589"/>
      <w:bookmarkStart w:id="119" w:name="_Toc65158808"/>
      <w:r>
        <w:rPr>
          <w:rFonts w:hint="eastAsia"/>
          <w:sz w:val="32"/>
          <w:highlight w:val="none"/>
        </w:rPr>
        <w:t>评审标准</w:t>
      </w:r>
      <w:bookmarkEnd w:id="115"/>
      <w:bookmarkEnd w:id="116"/>
      <w:bookmarkEnd w:id="117"/>
      <w:bookmarkEnd w:id="118"/>
      <w:bookmarkEnd w:id="119"/>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359"/>
        <w:gridCol w:w="768"/>
        <w:gridCol w:w="6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分部</w:t>
            </w:r>
          </w:p>
        </w:tc>
        <w:tc>
          <w:tcPr>
            <w:tcW w:w="745"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评审因素</w:t>
            </w:r>
          </w:p>
        </w:tc>
        <w:tc>
          <w:tcPr>
            <w:tcW w:w="421"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分值</w:t>
            </w:r>
          </w:p>
        </w:tc>
        <w:tc>
          <w:tcPr>
            <w:tcW w:w="3396" w:type="pct"/>
            <w:shd w:val="clear" w:color="auto" w:fill="BEBEBE" w:themeFill="background1" w:themeFillShade="BF"/>
            <w:vAlign w:val="center"/>
          </w:tcPr>
          <w:p>
            <w:pPr>
              <w:adjustRightInd w:val="0"/>
              <w:snapToGrid w:val="0"/>
              <w:jc w:val="center"/>
              <w:rPr>
                <w:rFonts w:ascii="宋体" w:hAnsi="宋体" w:eastAsia="宋体"/>
                <w:sz w:val="24"/>
                <w:szCs w:val="24"/>
                <w:highlight w:val="none"/>
              </w:rPr>
            </w:pPr>
            <w:r>
              <w:rPr>
                <w:rFonts w:hint="eastAsia" w:ascii="宋体" w:hAnsi="宋体" w:eastAsia="宋体"/>
                <w:sz w:val="24"/>
                <w:szCs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shd w:val="clear" w:color="BEBEBE" w:fill="auto"/>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价格部分</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w:t>
            </w:r>
          </w:p>
        </w:tc>
        <w:tc>
          <w:tcPr>
            <w:tcW w:w="745" w:type="pct"/>
            <w:shd w:val="clear" w:color="BEBEBE" w:fill="auto"/>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价格评议</w:t>
            </w:r>
          </w:p>
        </w:tc>
        <w:tc>
          <w:tcPr>
            <w:tcW w:w="421" w:type="pct"/>
            <w:shd w:val="clear" w:color="BEBEBE" w:fill="auto"/>
            <w:vAlign w:val="center"/>
          </w:tcPr>
          <w:p>
            <w:pPr>
              <w:adjustRightInd w:val="0"/>
              <w:snapToGrid w:val="0"/>
              <w:jc w:val="center"/>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30</w:t>
            </w:r>
          </w:p>
        </w:tc>
        <w:tc>
          <w:tcPr>
            <w:tcW w:w="3396" w:type="pct"/>
            <w:shd w:val="clear" w:color="BEBEBE" w:fill="auto"/>
            <w:vAlign w:val="center"/>
          </w:tcPr>
          <w:p>
            <w:pPr>
              <w:adjustRightInd w:val="0"/>
              <w:snapToGrid w:val="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报价得分=(磋商基准价／最后磋商报价)×</w:t>
            </w:r>
            <w:r>
              <w:rPr>
                <w:rFonts w:hint="eastAsia" w:ascii="宋体" w:hAnsi="宋体" w:eastAsia="宋体" w:cs="宋体"/>
                <w:sz w:val="24"/>
                <w:szCs w:val="24"/>
                <w:highlight w:val="none"/>
                <w:lang w:val="en-US" w:eastAsia="zh-CN"/>
              </w:rPr>
              <w:t>30</w:t>
            </w:r>
          </w:p>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满足磋商文件要求且以各供应商最终报价的最低报价为基准价</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落实政府采购政策进行价格调整的，最后磋商报价以调整后的价格计算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restart"/>
            <w:vAlign w:val="center"/>
          </w:tcPr>
          <w:p>
            <w:pPr>
              <w:adjustRightInd w:val="0"/>
              <w:snapToGrid w:val="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商务部分</w:t>
            </w:r>
          </w:p>
          <w:p>
            <w:pPr>
              <w:adjustRightInd w:val="0"/>
              <w:snapToGrid w:val="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29分</w:t>
            </w:r>
          </w:p>
        </w:tc>
        <w:tc>
          <w:tcPr>
            <w:tcW w:w="745"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磋商响应文件的完整性</w:t>
            </w:r>
          </w:p>
        </w:tc>
        <w:tc>
          <w:tcPr>
            <w:tcW w:w="421"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3396" w:type="pct"/>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磋商响应文件全面响应竞争性磋商文件要求，编制完整、非活页装订，且有详细目录、连续页码、目录与有关材料装订顺序对应清晰、查阅方便得2分。编排杂乱无章、叙述答非所问、资料残缺不全、资料模糊不清、前后不一致等，每处扣0.5分，扣完为止；活页装订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continue"/>
            <w:vAlign w:val="center"/>
          </w:tcPr>
          <w:p>
            <w:pPr>
              <w:adjustRightInd w:val="0"/>
              <w:snapToGrid w:val="0"/>
              <w:rPr>
                <w:rFonts w:hint="eastAsia" w:ascii="宋体" w:hAnsi="宋体" w:eastAsia="宋体" w:cs="宋体"/>
                <w:sz w:val="24"/>
                <w:szCs w:val="24"/>
                <w:highlight w:val="none"/>
                <w:lang w:val="en-US" w:eastAsia="zh-CN"/>
              </w:rPr>
            </w:pPr>
          </w:p>
        </w:tc>
        <w:tc>
          <w:tcPr>
            <w:tcW w:w="745" w:type="pct"/>
            <w:vMerge w:val="restart"/>
            <w:vAlign w:val="center"/>
          </w:tcPr>
          <w:p>
            <w:pPr>
              <w:jc w:val="center"/>
              <w:rPr>
                <w:rFonts w:hint="eastAsia" w:ascii="宋体" w:hAnsi="宋体" w:eastAsia="宋体" w:cs="宋体"/>
                <w:sz w:val="24"/>
                <w:szCs w:val="24"/>
                <w:highlight w:val="none"/>
              </w:rPr>
            </w:pPr>
            <w:r>
              <w:rPr>
                <w:rFonts w:hint="eastAsia" w:asciiTheme="minorEastAsia" w:hAnsiTheme="minorEastAsia"/>
                <w:sz w:val="24"/>
                <w:szCs w:val="24"/>
                <w:highlight w:val="none"/>
                <w:lang w:eastAsia="zh-CN"/>
              </w:rPr>
              <w:t>供应商综合实力</w:t>
            </w:r>
          </w:p>
        </w:tc>
        <w:tc>
          <w:tcPr>
            <w:tcW w:w="421" w:type="pct"/>
            <w:vAlign w:val="center"/>
          </w:tcPr>
          <w:p>
            <w:pPr>
              <w:jc w:val="center"/>
              <w:rPr>
                <w:rFonts w:hint="eastAsia" w:ascii="宋体" w:hAnsi="宋体" w:eastAsia="宋体" w:cs="宋体"/>
                <w:sz w:val="24"/>
                <w:szCs w:val="24"/>
                <w:highlight w:val="none"/>
              </w:rPr>
            </w:pPr>
            <w:r>
              <w:rPr>
                <w:rFonts w:hint="eastAsia" w:asciiTheme="minorEastAsia" w:hAnsiTheme="minorEastAsia"/>
                <w:sz w:val="24"/>
                <w:szCs w:val="24"/>
                <w:highlight w:val="none"/>
              </w:rPr>
              <w:t>6</w:t>
            </w:r>
          </w:p>
        </w:tc>
        <w:tc>
          <w:tcPr>
            <w:tcW w:w="3396" w:type="pct"/>
            <w:vAlign w:val="center"/>
          </w:tcPr>
          <w:p>
            <w:pPr>
              <w:pStyle w:val="94"/>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1.供应商具有ISO9001质量管理体系认证证书得2分；</w:t>
            </w:r>
          </w:p>
          <w:p>
            <w:pPr>
              <w:pStyle w:val="94"/>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2.供应商具有ISO14001环境管理体系认证证书得2分；</w:t>
            </w:r>
          </w:p>
          <w:p>
            <w:pPr>
              <w:pStyle w:val="94"/>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3.供应</w:t>
            </w:r>
            <w:r>
              <w:rPr>
                <w:rStyle w:val="34"/>
                <w:rFonts w:hint="eastAsia" w:ascii="宋体" w:hAnsi="宋体" w:eastAsia="宋体" w:cs="宋体"/>
                <w:b w:val="0"/>
                <w:sz w:val="24"/>
                <w:szCs w:val="24"/>
                <w:highlight w:val="none"/>
                <w:lang w:eastAsia="zh-CN"/>
              </w:rPr>
              <w:t>商</w:t>
            </w:r>
            <w:r>
              <w:rPr>
                <w:rStyle w:val="34"/>
                <w:rFonts w:hint="eastAsia" w:ascii="宋体" w:hAnsi="宋体" w:eastAsia="宋体" w:cs="宋体"/>
                <w:b w:val="0"/>
                <w:sz w:val="24"/>
                <w:szCs w:val="24"/>
                <w:highlight w:val="none"/>
              </w:rPr>
              <w:t>具有OHSAS18001职业健康安全管理体系认证证书得2分。（提供证书</w:t>
            </w:r>
            <w:r>
              <w:rPr>
                <w:rFonts w:hint="eastAsia" w:ascii="宋体" w:hAnsi="宋体" w:eastAsia="宋体" w:cs="宋体"/>
                <w:kern w:val="2"/>
                <w:sz w:val="24"/>
                <w:szCs w:val="24"/>
                <w:highlight w:val="none"/>
                <w:lang w:val="en-US" w:eastAsia="zh-CN" w:bidi="ar-SA"/>
              </w:rPr>
              <w:t>复印件并加盖公章）</w:t>
            </w:r>
          </w:p>
          <w:p>
            <w:pPr>
              <w:pStyle w:val="94"/>
              <w:jc w:val="left"/>
              <w:rPr>
                <w:rFonts w:hint="eastAsia" w:ascii="宋体" w:hAnsi="宋体" w:eastAsia="宋体" w:cs="宋体"/>
                <w:sz w:val="24"/>
                <w:szCs w:val="24"/>
                <w:highlight w:val="none"/>
                <w:lang w:val="en-US" w:eastAsia="zh-CN"/>
              </w:rPr>
            </w:pPr>
            <w:r>
              <w:rPr>
                <w:rFonts w:hint="eastAsia" w:ascii="宋体" w:hAnsi="宋体" w:eastAsia="宋体" w:cs="宋体"/>
                <w:b/>
                <w:bCs/>
                <w:kern w:val="2"/>
                <w:sz w:val="24"/>
                <w:szCs w:val="24"/>
                <w:highlight w:val="none"/>
                <w:lang w:val="en-US" w:eastAsia="zh-CN" w:bidi="ar-SA"/>
              </w:rPr>
              <w:t>本项累计得分最高不超过6分。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continue"/>
            <w:vAlign w:val="center"/>
          </w:tcPr>
          <w:p>
            <w:pPr>
              <w:adjustRightInd w:val="0"/>
              <w:snapToGrid w:val="0"/>
              <w:rPr>
                <w:rFonts w:hint="eastAsia" w:ascii="宋体" w:hAnsi="宋体" w:eastAsia="宋体" w:cs="宋体"/>
                <w:sz w:val="24"/>
                <w:szCs w:val="24"/>
                <w:highlight w:val="none"/>
                <w:lang w:val="en-US" w:eastAsia="zh-CN"/>
              </w:rPr>
            </w:pPr>
          </w:p>
        </w:tc>
        <w:tc>
          <w:tcPr>
            <w:tcW w:w="745" w:type="pct"/>
            <w:vMerge w:val="continue"/>
            <w:vAlign w:val="center"/>
          </w:tcPr>
          <w:p>
            <w:pPr>
              <w:adjustRightInd w:val="0"/>
              <w:snapToGrid w:val="0"/>
              <w:jc w:val="center"/>
              <w:rPr>
                <w:rFonts w:hint="eastAsia" w:ascii="宋体" w:hAnsi="宋体" w:eastAsia="宋体" w:cs="宋体"/>
                <w:sz w:val="24"/>
                <w:szCs w:val="24"/>
                <w:highlight w:val="none"/>
              </w:rPr>
            </w:pPr>
          </w:p>
        </w:tc>
        <w:tc>
          <w:tcPr>
            <w:tcW w:w="421" w:type="pct"/>
            <w:vAlign w:val="center"/>
          </w:tcPr>
          <w:p>
            <w:pPr>
              <w:jc w:val="center"/>
              <w:rPr>
                <w:rFonts w:hint="eastAsia" w:ascii="宋体" w:hAnsi="宋体" w:eastAsia="宋体" w:cs="宋体"/>
                <w:sz w:val="24"/>
                <w:szCs w:val="24"/>
                <w:highlight w:val="none"/>
              </w:rPr>
            </w:pPr>
            <w:r>
              <w:rPr>
                <w:rFonts w:hint="eastAsia" w:asciiTheme="minorEastAsia" w:hAnsiTheme="minorEastAsia"/>
                <w:sz w:val="24"/>
                <w:szCs w:val="24"/>
                <w:highlight w:val="none"/>
              </w:rPr>
              <w:t>5</w:t>
            </w:r>
          </w:p>
        </w:tc>
        <w:tc>
          <w:tcPr>
            <w:tcW w:w="3396" w:type="pct"/>
            <w:vAlign w:val="center"/>
          </w:tcPr>
          <w:p>
            <w:pPr>
              <w:pStyle w:val="15"/>
              <w:rPr>
                <w:rFonts w:hint="eastAsia" w:ascii="宋体" w:hAnsi="宋体" w:eastAsia="宋体" w:cs="宋体"/>
                <w:sz w:val="24"/>
                <w:szCs w:val="24"/>
                <w:highlight w:val="none"/>
                <w:lang w:val="en-US" w:eastAsia="zh-CN"/>
              </w:rPr>
            </w:pPr>
            <w:r>
              <w:rPr>
                <w:rFonts w:hint="eastAsia" w:asciiTheme="minorEastAsia" w:hAnsiTheme="minorEastAsia"/>
                <w:sz w:val="24"/>
                <w:szCs w:val="24"/>
                <w:highlight w:val="none"/>
              </w:rPr>
              <w:t>供应商具有中国安全防范产品行业协会颁发的</w:t>
            </w:r>
            <w:r>
              <w:rPr>
                <w:rFonts w:hint="eastAsia" w:asciiTheme="minorEastAsia" w:hAnsiTheme="minorEastAsia"/>
                <w:sz w:val="24"/>
                <w:szCs w:val="24"/>
                <w:highlight w:val="none"/>
                <w:lang w:val="en-US" w:eastAsia="zh-CN"/>
              </w:rPr>
              <w:t>三级及以上</w:t>
            </w:r>
            <w:r>
              <w:rPr>
                <w:rFonts w:hint="eastAsia" w:asciiTheme="minorEastAsia" w:hAnsiTheme="minorEastAsia"/>
                <w:sz w:val="24"/>
                <w:szCs w:val="24"/>
                <w:highlight w:val="none"/>
              </w:rPr>
              <w:t>“安防工程企业设计施工维护能力证书”的得5分</w:t>
            </w:r>
            <w:r>
              <w:rPr>
                <w:rFonts w:hint="eastAsia" w:asciiTheme="minorEastAsia" w:hAnsiTheme="minorEastAsia"/>
                <w:sz w:val="24"/>
                <w:szCs w:val="24"/>
                <w:highlight w:val="none"/>
                <w:lang w:eastAsia="zh-CN"/>
              </w:rPr>
              <w:t>。</w:t>
            </w:r>
            <w:r>
              <w:rPr>
                <w:rStyle w:val="34"/>
                <w:rFonts w:hint="eastAsia" w:ascii="宋体" w:hAnsi="宋体" w:eastAsia="宋体" w:cs="宋体"/>
                <w:b w:val="0"/>
                <w:sz w:val="24"/>
                <w:szCs w:val="24"/>
                <w:highlight w:val="none"/>
              </w:rPr>
              <w:t>（提供证书</w:t>
            </w:r>
            <w:r>
              <w:rPr>
                <w:rFonts w:hint="eastAsia" w:ascii="宋体" w:hAnsi="宋体" w:eastAsia="宋体" w:cs="宋体"/>
                <w:kern w:val="2"/>
                <w:sz w:val="24"/>
                <w:szCs w:val="24"/>
                <w:highlight w:val="none"/>
                <w:lang w:val="en-US" w:eastAsia="zh-CN" w:bidi="ar-SA"/>
              </w:rPr>
              <w:t>复印件并加盖公章）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continue"/>
            <w:vAlign w:val="center"/>
          </w:tcPr>
          <w:p>
            <w:pPr>
              <w:adjustRightInd w:val="0"/>
              <w:snapToGrid w:val="0"/>
              <w:rPr>
                <w:rFonts w:hint="eastAsia" w:ascii="宋体" w:hAnsi="宋体" w:eastAsia="宋体" w:cs="宋体"/>
                <w:sz w:val="24"/>
                <w:szCs w:val="24"/>
                <w:highlight w:val="none"/>
                <w:lang w:val="en-US" w:eastAsia="zh-CN"/>
              </w:rPr>
            </w:pPr>
          </w:p>
        </w:tc>
        <w:tc>
          <w:tcPr>
            <w:tcW w:w="745" w:type="pct"/>
            <w:vAlign w:val="center"/>
          </w:tcPr>
          <w:p>
            <w:pPr>
              <w:jc w:val="center"/>
              <w:rPr>
                <w:rFonts w:hint="eastAsia" w:ascii="宋体" w:hAnsi="宋体" w:eastAsia="宋体" w:cs="宋体"/>
                <w:sz w:val="24"/>
                <w:szCs w:val="24"/>
                <w:highlight w:val="none"/>
              </w:rPr>
            </w:pPr>
            <w:r>
              <w:rPr>
                <w:rFonts w:hint="eastAsia" w:asciiTheme="minorEastAsia" w:hAnsiTheme="minorEastAsia"/>
                <w:sz w:val="24"/>
                <w:szCs w:val="24"/>
                <w:highlight w:val="none"/>
              </w:rPr>
              <w:t>技术人员</w:t>
            </w:r>
          </w:p>
        </w:tc>
        <w:tc>
          <w:tcPr>
            <w:tcW w:w="421" w:type="pct"/>
            <w:vAlign w:val="center"/>
          </w:tcPr>
          <w:p>
            <w:pPr>
              <w:jc w:val="center"/>
              <w:rPr>
                <w:rFonts w:hint="eastAsia" w:ascii="宋体" w:hAnsi="宋体" w:eastAsia="宋体" w:cs="宋体"/>
                <w:sz w:val="24"/>
                <w:szCs w:val="24"/>
                <w:highlight w:val="none"/>
              </w:rPr>
            </w:pPr>
            <w:r>
              <w:rPr>
                <w:rFonts w:hint="eastAsia" w:asciiTheme="minorEastAsia" w:hAnsiTheme="minorEastAsia"/>
                <w:sz w:val="24"/>
                <w:szCs w:val="24"/>
                <w:highlight w:val="none"/>
              </w:rPr>
              <w:t>8</w:t>
            </w:r>
          </w:p>
        </w:tc>
        <w:tc>
          <w:tcPr>
            <w:tcW w:w="3396" w:type="pct"/>
            <w:vAlign w:val="center"/>
          </w:tcPr>
          <w:p>
            <w:pPr>
              <w:rPr>
                <w:rFonts w:hint="eastAsia" w:ascii="宋体" w:hAnsi="宋体" w:eastAsia="宋体" w:cs="宋体"/>
                <w:sz w:val="24"/>
                <w:szCs w:val="24"/>
                <w:highlight w:val="none"/>
                <w:lang w:val="en-US" w:eastAsia="zh-CN"/>
              </w:rPr>
            </w:pPr>
            <w:r>
              <w:rPr>
                <w:rFonts w:hint="eastAsia" w:asciiTheme="minorEastAsia" w:hAnsiTheme="minorEastAsia"/>
                <w:sz w:val="24"/>
                <w:szCs w:val="24"/>
                <w:highlight w:val="none"/>
              </w:rPr>
              <w:t>供</w:t>
            </w:r>
            <w:r>
              <w:rPr>
                <w:rFonts w:hint="eastAsia" w:ascii="宋体" w:hAnsi="宋体" w:eastAsia="宋体" w:cs="宋体"/>
                <w:sz w:val="24"/>
                <w:szCs w:val="24"/>
                <w:highlight w:val="none"/>
              </w:rPr>
              <w:t>应商</w:t>
            </w:r>
            <w:r>
              <w:rPr>
                <w:rFonts w:hint="eastAsia" w:ascii="宋体" w:hAnsi="宋体" w:eastAsia="宋体" w:cs="宋体"/>
                <w:sz w:val="24"/>
                <w:szCs w:val="24"/>
                <w:highlight w:val="none"/>
                <w:lang w:eastAsia="zh-CN"/>
              </w:rPr>
              <w:t>拟派的</w:t>
            </w:r>
            <w:r>
              <w:rPr>
                <w:rFonts w:hint="eastAsia" w:ascii="宋体" w:hAnsi="宋体" w:eastAsia="宋体" w:cs="宋体"/>
                <w:sz w:val="24"/>
                <w:szCs w:val="24"/>
                <w:highlight w:val="none"/>
              </w:rPr>
              <w:t>技术人员具有安防工程</w:t>
            </w:r>
            <w:r>
              <w:rPr>
                <w:rFonts w:hint="eastAsia" w:ascii="宋体" w:hAnsi="宋体" w:eastAsia="宋体" w:cs="宋体"/>
                <w:sz w:val="24"/>
                <w:szCs w:val="24"/>
                <w:highlight w:val="none"/>
                <w:lang w:eastAsia="zh-CN"/>
              </w:rPr>
              <w:t>相关</w:t>
            </w:r>
            <w:r>
              <w:rPr>
                <w:rFonts w:hint="eastAsia" w:ascii="宋体" w:hAnsi="宋体" w:eastAsia="宋体" w:cs="宋体"/>
                <w:sz w:val="24"/>
                <w:szCs w:val="24"/>
                <w:highlight w:val="none"/>
              </w:rPr>
              <w:t>证书的，每提供1</w:t>
            </w:r>
            <w:r>
              <w:rPr>
                <w:rFonts w:hint="eastAsia" w:ascii="宋体" w:hAnsi="宋体" w:eastAsia="宋体" w:cs="宋体"/>
                <w:sz w:val="24"/>
                <w:szCs w:val="24"/>
                <w:highlight w:val="none"/>
                <w:lang w:eastAsia="zh-CN"/>
              </w:rPr>
              <w:t>个的</w:t>
            </w:r>
            <w:r>
              <w:rPr>
                <w:rFonts w:hint="eastAsia" w:ascii="宋体" w:hAnsi="宋体" w:eastAsia="宋体" w:cs="宋体"/>
                <w:sz w:val="24"/>
                <w:szCs w:val="24"/>
                <w:highlight w:val="none"/>
              </w:rPr>
              <w:t>得2分，最多</w:t>
            </w:r>
            <w:r>
              <w:rPr>
                <w:rFonts w:hint="eastAsia" w:ascii="宋体" w:hAnsi="宋体" w:eastAsia="宋体" w:cs="宋体"/>
                <w:sz w:val="24"/>
                <w:szCs w:val="24"/>
                <w:highlight w:val="none"/>
                <w:lang w:eastAsia="zh-CN"/>
              </w:rPr>
              <w:t>得</w:t>
            </w:r>
            <w:r>
              <w:rPr>
                <w:rFonts w:hint="eastAsia" w:ascii="宋体" w:hAnsi="宋体" w:eastAsia="宋体" w:cs="宋体"/>
                <w:sz w:val="24"/>
                <w:szCs w:val="24"/>
                <w:highlight w:val="none"/>
              </w:rPr>
              <w:t>8分。（</w:t>
            </w:r>
            <w:r>
              <w:rPr>
                <w:rFonts w:hint="eastAsia" w:ascii="宋体" w:hAnsi="宋体" w:eastAsia="宋体" w:cs="宋体"/>
                <w:b/>
                <w:sz w:val="24"/>
                <w:szCs w:val="24"/>
                <w:highlight w:val="none"/>
              </w:rPr>
              <w:t>提供证书及</w:t>
            </w:r>
            <w:r>
              <w:rPr>
                <w:rFonts w:hint="eastAsia" w:ascii="宋体" w:hAnsi="宋体" w:eastAsia="宋体" w:cs="宋体"/>
                <w:b/>
                <w:sz w:val="24"/>
                <w:szCs w:val="24"/>
                <w:highlight w:val="none"/>
                <w:lang w:eastAsia="zh-CN"/>
              </w:rPr>
              <w:t>公司为其</w:t>
            </w:r>
            <w:r>
              <w:rPr>
                <w:rFonts w:hint="eastAsia" w:ascii="宋体" w:hAnsi="宋体" w:eastAsia="宋体" w:cs="宋体"/>
                <w:b/>
                <w:sz w:val="24"/>
                <w:szCs w:val="24"/>
                <w:highlight w:val="none"/>
              </w:rPr>
              <w:t>缴纳</w:t>
            </w:r>
            <w:r>
              <w:rPr>
                <w:rFonts w:hint="eastAsia" w:ascii="宋体" w:hAnsi="宋体" w:eastAsia="宋体" w:cs="宋体"/>
                <w:b/>
                <w:sz w:val="24"/>
                <w:szCs w:val="24"/>
                <w:highlight w:val="none"/>
                <w:lang w:val="en-US" w:eastAsia="zh-CN"/>
              </w:rPr>
              <w:t>近三个月任意一个月</w:t>
            </w:r>
            <w:r>
              <w:rPr>
                <w:rFonts w:hint="eastAsia" w:ascii="宋体" w:hAnsi="宋体" w:eastAsia="宋体" w:cs="宋体"/>
                <w:b/>
                <w:sz w:val="24"/>
                <w:szCs w:val="24"/>
                <w:highlight w:val="none"/>
              </w:rPr>
              <w:t>社会保险的证明材料复印件并加盖公章</w:t>
            </w:r>
            <w:r>
              <w:rPr>
                <w:rFonts w:hint="eastAsia" w:ascii="宋体" w:hAnsi="宋体" w:eastAsia="宋体" w:cs="宋体"/>
                <w:b/>
                <w:sz w:val="24"/>
                <w:szCs w:val="24"/>
                <w:highlight w:val="none"/>
                <w:lang w:eastAsia="zh-CN"/>
              </w:rPr>
              <w:t>。</w:t>
            </w:r>
            <w:r>
              <w:rPr>
                <w:rFonts w:hint="eastAsia" w:ascii="宋体" w:hAnsi="宋体" w:eastAsia="宋体" w:cs="宋体"/>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continue"/>
            <w:vAlign w:val="center"/>
          </w:tcPr>
          <w:p>
            <w:pPr>
              <w:adjustRightInd w:val="0"/>
              <w:snapToGrid w:val="0"/>
              <w:rPr>
                <w:rFonts w:hint="eastAsia" w:ascii="宋体" w:hAnsi="宋体" w:eastAsia="宋体" w:cs="宋体"/>
                <w:sz w:val="24"/>
                <w:szCs w:val="24"/>
                <w:highlight w:val="none"/>
              </w:rPr>
            </w:pPr>
          </w:p>
        </w:tc>
        <w:tc>
          <w:tcPr>
            <w:tcW w:w="745" w:type="pct"/>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类似项目成功案例</w:t>
            </w:r>
          </w:p>
        </w:tc>
        <w:tc>
          <w:tcPr>
            <w:tcW w:w="421" w:type="pct"/>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8</w:t>
            </w:r>
          </w:p>
        </w:tc>
        <w:tc>
          <w:tcPr>
            <w:tcW w:w="3396" w:type="pct"/>
            <w:vAlign w:val="center"/>
          </w:tcPr>
          <w:p>
            <w:pPr>
              <w:rPr>
                <w:rFonts w:hint="eastAsia" w:ascii="宋体" w:hAnsi="宋体" w:eastAsia="宋体" w:cs="宋体"/>
                <w:sz w:val="24"/>
                <w:szCs w:val="24"/>
                <w:highlight w:val="none"/>
              </w:rPr>
            </w:pPr>
            <w:r>
              <w:rPr>
                <w:rFonts w:hint="eastAsia" w:ascii="宋体" w:hAnsi="宋体" w:eastAsia="宋体" w:cs="宋体"/>
                <w:sz w:val="24"/>
                <w:szCs w:val="24"/>
                <w:highlight w:val="none"/>
              </w:rPr>
              <w:t>供应商提供近三年内（201</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月至今）的类似项目成功案例（以中标通知书或采购合同</w:t>
            </w:r>
            <w:r>
              <w:rPr>
                <w:rFonts w:hint="eastAsia" w:ascii="宋体" w:hAnsi="宋体" w:eastAsia="宋体" w:cs="宋体"/>
                <w:sz w:val="24"/>
                <w:szCs w:val="24"/>
                <w:highlight w:val="none"/>
                <w:lang w:eastAsia="zh-CN"/>
              </w:rPr>
              <w:t>复印件加盖公章</w:t>
            </w:r>
            <w:r>
              <w:rPr>
                <w:rFonts w:hint="eastAsia" w:ascii="宋体" w:hAnsi="宋体" w:eastAsia="宋体" w:cs="宋体"/>
                <w:sz w:val="24"/>
                <w:szCs w:val="24"/>
                <w:highlight w:val="none"/>
              </w:rPr>
              <w:t>为准），每提供一个类似项目成功案例得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分，最高得</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restart"/>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技术部分</w:t>
            </w:r>
          </w:p>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41</w:t>
            </w:r>
            <w:r>
              <w:rPr>
                <w:rFonts w:hint="eastAsia" w:ascii="宋体" w:hAnsi="宋体" w:eastAsia="宋体" w:cs="宋体"/>
                <w:sz w:val="24"/>
                <w:szCs w:val="24"/>
                <w:highlight w:val="none"/>
              </w:rPr>
              <w:t>分</w:t>
            </w:r>
          </w:p>
        </w:tc>
        <w:tc>
          <w:tcPr>
            <w:tcW w:w="745"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技术响应</w:t>
            </w:r>
          </w:p>
        </w:tc>
        <w:tc>
          <w:tcPr>
            <w:tcW w:w="421" w:type="pct"/>
            <w:vAlign w:val="center"/>
          </w:tcPr>
          <w:p>
            <w:pPr>
              <w:adjustRightInd w:val="0"/>
              <w:snapToGrid w:val="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30</w:t>
            </w:r>
          </w:p>
        </w:tc>
        <w:tc>
          <w:tcPr>
            <w:tcW w:w="3396" w:type="pct"/>
            <w:vAlign w:val="center"/>
          </w:tcPr>
          <w:p>
            <w:pPr>
              <w:adjustRightInd w:val="0"/>
              <w:snapToGrid w:val="0"/>
              <w:rPr>
                <w:rFonts w:hint="eastAsia" w:ascii="宋体" w:hAnsi="宋体" w:eastAsia="宋体" w:cs="宋体"/>
                <w:sz w:val="24"/>
                <w:szCs w:val="24"/>
                <w:highlight w:val="none"/>
              </w:rPr>
            </w:pPr>
            <w:r>
              <w:rPr>
                <w:rFonts w:hint="eastAsia" w:ascii="宋体" w:hAnsi="宋体" w:eastAsia="宋体" w:cs="宋体"/>
                <w:sz w:val="24"/>
                <w:szCs w:val="24"/>
                <w:highlight w:val="none"/>
              </w:rPr>
              <w:t>1.完全满足用户的要求，并有优于用户的技术参数（供应商需提供产品的彩页样本或检验报告，如供应商技术响应内容与产品彩页样本或检验报告不一致的本项得0分），且能详细描述，综合评价最优的得</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w:t>
            </w:r>
          </w:p>
          <w:p>
            <w:pPr>
              <w:adjustRightInd w:val="0"/>
              <w:snapToGrid w:val="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2.“▲”号标识的条款，为重要技术参数，每一项负偏离，扣</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分；其他参数，每一项负偏离，扣</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分，扣完</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分为止。</w:t>
            </w:r>
            <w:r>
              <w:rPr>
                <w:rFonts w:hint="eastAsia" w:ascii="宋体" w:hAnsi="宋体" w:eastAsia="宋体" w:cs="宋体"/>
                <w:sz w:val="24"/>
                <w:szCs w:val="24"/>
                <w:highlight w:val="none"/>
                <w:lang w:eastAsia="zh-CN"/>
              </w:rPr>
              <w:t>（累计</w:t>
            </w:r>
            <w:r>
              <w:rPr>
                <w:rFonts w:hint="eastAsia" w:ascii="宋体" w:hAnsi="宋体" w:eastAsia="宋体" w:cs="宋体"/>
                <w:sz w:val="24"/>
                <w:szCs w:val="24"/>
                <w:highlight w:val="none"/>
                <w:lang w:val="en-US" w:eastAsia="zh-CN"/>
              </w:rPr>
              <w:t>5个（含）</w:t>
            </w:r>
            <w:r>
              <w:rPr>
                <w:rFonts w:hint="eastAsia" w:ascii="宋体" w:hAnsi="宋体" w:eastAsia="宋体" w:cs="宋体"/>
                <w:sz w:val="24"/>
                <w:szCs w:val="24"/>
                <w:highlight w:val="none"/>
              </w:rPr>
              <w:t>“▲”号标识的条款</w:t>
            </w:r>
            <w:r>
              <w:rPr>
                <w:rFonts w:hint="eastAsia" w:ascii="宋体" w:hAnsi="宋体" w:eastAsia="宋体" w:cs="宋体"/>
                <w:sz w:val="24"/>
                <w:szCs w:val="24"/>
                <w:highlight w:val="none"/>
                <w:lang w:eastAsia="zh-CN"/>
              </w:rPr>
              <w:t>不满足，</w:t>
            </w:r>
            <w:r>
              <w:rPr>
                <w:rFonts w:hint="eastAsia" w:ascii="宋体" w:hAnsi="宋体" w:eastAsia="宋体" w:cs="宋体"/>
                <w:sz w:val="24"/>
                <w:szCs w:val="24"/>
                <w:highlight w:val="none"/>
                <w:lang w:val="en-US" w:eastAsia="zh-CN"/>
              </w:rPr>
              <w:t>视为无效投标处理</w:t>
            </w:r>
            <w:r>
              <w:rPr>
                <w:rFonts w:hint="eastAsia" w:ascii="宋体" w:hAnsi="宋体" w:eastAsia="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continue"/>
            <w:vAlign w:val="center"/>
          </w:tcPr>
          <w:p>
            <w:pPr>
              <w:adjustRightInd w:val="0"/>
              <w:snapToGrid w:val="0"/>
              <w:rPr>
                <w:rFonts w:hint="eastAsia" w:ascii="宋体" w:hAnsi="宋体" w:eastAsia="宋体" w:cs="宋体"/>
                <w:sz w:val="24"/>
                <w:szCs w:val="24"/>
                <w:highlight w:val="none"/>
              </w:rPr>
            </w:pPr>
          </w:p>
        </w:tc>
        <w:tc>
          <w:tcPr>
            <w:tcW w:w="745" w:type="pct"/>
            <w:vAlign w:val="center"/>
          </w:tcPr>
          <w:p>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售后服务方案</w:t>
            </w:r>
          </w:p>
        </w:tc>
        <w:tc>
          <w:tcPr>
            <w:tcW w:w="421" w:type="pct"/>
            <w:vAlign w:val="center"/>
          </w:tcPr>
          <w:p>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p>
        </w:tc>
        <w:tc>
          <w:tcPr>
            <w:tcW w:w="3396" w:type="pct"/>
            <w:vAlign w:val="center"/>
          </w:tcPr>
          <w:p>
            <w:pP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eastAsia="zh-CN"/>
              </w:rPr>
              <w:t>根据供应商提供</w:t>
            </w:r>
            <w:r>
              <w:rPr>
                <w:rFonts w:hint="eastAsia" w:asciiTheme="minorEastAsia" w:hAnsiTheme="minorEastAsia"/>
                <w:sz w:val="24"/>
                <w:szCs w:val="24"/>
                <w:highlight w:val="none"/>
              </w:rPr>
              <w:t>售前及售后服售后服务方案、售后服务团队、售后服务网点、零配件供应</w:t>
            </w:r>
            <w:r>
              <w:rPr>
                <w:rFonts w:hint="eastAsia" w:asciiTheme="minorEastAsia" w:hAnsiTheme="minorEastAsia"/>
                <w:sz w:val="24"/>
                <w:szCs w:val="24"/>
                <w:highlight w:val="none"/>
                <w:lang w:eastAsia="zh-CN"/>
              </w:rPr>
              <w:t>进行打分：售后服务方案</w:t>
            </w:r>
            <w:r>
              <w:rPr>
                <w:rFonts w:hint="eastAsia" w:ascii="宋体" w:hAnsi="宋体" w:eastAsia="宋体" w:cs="宋体"/>
                <w:color w:val="000000"/>
                <w:kern w:val="0"/>
                <w:sz w:val="24"/>
                <w:szCs w:val="24"/>
                <w:highlight w:val="none"/>
              </w:rPr>
              <w:t>具体可行</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具有一定优势，得</w:t>
            </w:r>
            <w:r>
              <w:rPr>
                <w:rFonts w:hint="eastAsia" w:ascii="宋体" w:hAnsi="宋体" w:eastAsia="宋体" w:cs="宋体"/>
                <w:color w:val="000000"/>
                <w:kern w:val="0"/>
                <w:sz w:val="24"/>
                <w:szCs w:val="24"/>
                <w:highlight w:val="none"/>
                <w:lang w:val="en-US" w:eastAsia="zh-CN"/>
              </w:rPr>
              <w:t>4-5</w:t>
            </w:r>
            <w:r>
              <w:rPr>
                <w:rFonts w:hint="eastAsia" w:ascii="宋体" w:hAnsi="宋体" w:eastAsia="宋体" w:cs="宋体"/>
                <w:color w:val="000000"/>
                <w:kern w:val="0"/>
                <w:sz w:val="24"/>
                <w:szCs w:val="24"/>
                <w:highlight w:val="none"/>
              </w:rPr>
              <w:t>分；有较明确的售后服务</w:t>
            </w:r>
            <w:r>
              <w:rPr>
                <w:rFonts w:hint="eastAsia" w:ascii="宋体" w:hAnsi="宋体" w:eastAsia="宋体" w:cs="宋体"/>
                <w:color w:val="000000"/>
                <w:kern w:val="0"/>
                <w:sz w:val="24"/>
                <w:szCs w:val="24"/>
                <w:highlight w:val="none"/>
                <w:lang w:eastAsia="zh-CN"/>
              </w:rPr>
              <w:t>方案</w:t>
            </w:r>
            <w:r>
              <w:rPr>
                <w:rFonts w:hint="eastAsia" w:ascii="宋体" w:hAnsi="宋体" w:eastAsia="宋体" w:cs="宋体"/>
                <w:color w:val="000000"/>
                <w:kern w:val="0"/>
                <w:sz w:val="24"/>
                <w:szCs w:val="24"/>
                <w:highlight w:val="none"/>
              </w:rPr>
              <w:t>，且基本可行，得</w:t>
            </w:r>
            <w:r>
              <w:rPr>
                <w:rFonts w:hint="eastAsia" w:ascii="宋体" w:hAnsi="宋体" w:eastAsia="宋体" w:cs="宋体"/>
                <w:color w:val="000000"/>
                <w:kern w:val="0"/>
                <w:sz w:val="24"/>
                <w:szCs w:val="24"/>
                <w:highlight w:val="none"/>
                <w:lang w:val="en-US" w:eastAsia="zh-CN"/>
              </w:rPr>
              <w:t>2-3</w:t>
            </w:r>
            <w:r>
              <w:rPr>
                <w:rFonts w:hint="eastAsia" w:ascii="宋体" w:hAnsi="宋体" w:eastAsia="宋体" w:cs="宋体"/>
                <w:color w:val="000000"/>
                <w:kern w:val="0"/>
                <w:sz w:val="24"/>
                <w:szCs w:val="24"/>
                <w:highlight w:val="none"/>
              </w:rPr>
              <w:t>分；没有明确的售后服务</w:t>
            </w:r>
            <w:r>
              <w:rPr>
                <w:rFonts w:hint="eastAsia" w:ascii="宋体" w:hAnsi="宋体" w:eastAsia="宋体" w:cs="宋体"/>
                <w:color w:val="000000"/>
                <w:kern w:val="0"/>
                <w:sz w:val="24"/>
                <w:szCs w:val="24"/>
                <w:highlight w:val="none"/>
                <w:lang w:eastAsia="zh-CN"/>
              </w:rPr>
              <w:t>方案</w:t>
            </w:r>
            <w:r>
              <w:rPr>
                <w:rFonts w:hint="eastAsia" w:ascii="宋体" w:hAnsi="宋体" w:eastAsia="宋体" w:cs="宋体"/>
                <w:color w:val="000000"/>
                <w:kern w:val="0"/>
                <w:sz w:val="24"/>
                <w:szCs w:val="24"/>
                <w:highlight w:val="none"/>
              </w:rPr>
              <w:t>或者未提供售后服务</w:t>
            </w:r>
            <w:r>
              <w:rPr>
                <w:rFonts w:hint="eastAsia" w:ascii="宋体" w:hAnsi="宋体" w:eastAsia="宋体" w:cs="宋体"/>
                <w:color w:val="000000"/>
                <w:kern w:val="0"/>
                <w:sz w:val="24"/>
                <w:szCs w:val="24"/>
                <w:highlight w:val="none"/>
                <w:lang w:eastAsia="zh-CN"/>
              </w:rPr>
              <w:t>方案</w:t>
            </w:r>
            <w:r>
              <w:rPr>
                <w:rFonts w:hint="eastAsia" w:ascii="宋体" w:hAnsi="宋体" w:eastAsia="宋体" w:cs="宋体"/>
                <w:color w:val="000000"/>
                <w:kern w:val="0"/>
                <w:sz w:val="24"/>
                <w:szCs w:val="24"/>
                <w:highlight w:val="none"/>
              </w:rPr>
              <w:t>，得0</w:t>
            </w:r>
            <w:r>
              <w:rPr>
                <w:rFonts w:hint="eastAsia" w:ascii="宋体" w:hAnsi="宋体" w:eastAsia="宋体" w:cs="宋体"/>
                <w:color w:val="000000"/>
                <w:kern w:val="0"/>
                <w:sz w:val="24"/>
                <w:szCs w:val="24"/>
                <w:highlight w:val="none"/>
                <w:lang w:val="en-US" w:eastAsia="zh-CN"/>
              </w:rPr>
              <w:t>-1</w:t>
            </w:r>
            <w:r>
              <w:rPr>
                <w:rFonts w:hint="eastAsia" w:ascii="宋体" w:hAnsi="宋体" w:eastAsia="宋体" w:cs="宋体"/>
                <w:color w:val="000000"/>
                <w:kern w:val="0"/>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37" w:type="pct"/>
            <w:vMerge w:val="continue"/>
            <w:vAlign w:val="center"/>
          </w:tcPr>
          <w:p>
            <w:pPr>
              <w:adjustRightInd w:val="0"/>
              <w:snapToGrid w:val="0"/>
              <w:rPr>
                <w:rFonts w:hint="eastAsia" w:ascii="宋体" w:hAnsi="宋体" w:eastAsia="宋体" w:cs="宋体"/>
                <w:sz w:val="24"/>
                <w:szCs w:val="24"/>
                <w:highlight w:val="none"/>
              </w:rPr>
            </w:pPr>
          </w:p>
        </w:tc>
        <w:tc>
          <w:tcPr>
            <w:tcW w:w="745" w:type="pct"/>
            <w:vAlign w:val="center"/>
          </w:tcPr>
          <w:p>
            <w:pPr>
              <w:jc w:val="center"/>
              <w:rPr>
                <w:rFonts w:hint="eastAsia" w:ascii="宋体" w:hAnsi="宋体" w:eastAsia="宋体" w:cs="宋体"/>
                <w:sz w:val="24"/>
                <w:szCs w:val="24"/>
                <w:highlight w:val="none"/>
              </w:rPr>
            </w:pPr>
            <w:r>
              <w:rPr>
                <w:rFonts w:hint="eastAsia" w:asciiTheme="minorEastAsia" w:hAnsiTheme="minorEastAsia"/>
                <w:sz w:val="24"/>
                <w:szCs w:val="24"/>
                <w:highlight w:val="none"/>
              </w:rPr>
              <w:t>质量保证措施</w:t>
            </w:r>
          </w:p>
        </w:tc>
        <w:tc>
          <w:tcPr>
            <w:tcW w:w="421" w:type="pct"/>
            <w:vAlign w:val="center"/>
          </w:tcPr>
          <w:p>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3396" w:type="pct"/>
            <w:vAlign w:val="center"/>
          </w:tcPr>
          <w:p>
            <w:pPr>
              <w:rPr>
                <w:rFonts w:hint="eastAsia" w:ascii="宋体" w:hAnsi="宋体" w:eastAsia="宋体" w:cs="宋体"/>
                <w:sz w:val="24"/>
                <w:szCs w:val="24"/>
                <w:highlight w:val="none"/>
              </w:rPr>
            </w:pPr>
            <w:r>
              <w:rPr>
                <w:rFonts w:hint="eastAsia" w:asciiTheme="minorEastAsia" w:hAnsiTheme="minorEastAsia"/>
                <w:sz w:val="24"/>
                <w:szCs w:val="24"/>
                <w:highlight w:val="none"/>
                <w:lang w:eastAsia="zh-CN"/>
              </w:rPr>
              <w:t>根据供应商提供</w:t>
            </w:r>
            <w:r>
              <w:rPr>
                <w:rFonts w:hint="eastAsia" w:asciiTheme="minorEastAsia" w:hAnsiTheme="minorEastAsia"/>
                <w:sz w:val="24"/>
                <w:szCs w:val="24"/>
                <w:highlight w:val="none"/>
              </w:rPr>
              <w:t>质量保证措施承诺完整性、合理性程度</w:t>
            </w:r>
            <w:r>
              <w:rPr>
                <w:rFonts w:hint="eastAsia" w:asciiTheme="minorEastAsia" w:hAnsiTheme="minorEastAsia"/>
                <w:sz w:val="24"/>
                <w:szCs w:val="24"/>
                <w:highlight w:val="none"/>
                <w:lang w:eastAsia="zh-CN"/>
              </w:rPr>
              <w:t>进行打分：质量保证措施齐全、合理的</w:t>
            </w:r>
            <w:r>
              <w:rPr>
                <w:rFonts w:hint="eastAsia" w:asciiTheme="minorEastAsia" w:hAnsiTheme="minorEastAsia"/>
                <w:sz w:val="24"/>
                <w:szCs w:val="24"/>
                <w:highlight w:val="none"/>
              </w:rPr>
              <w:t>得</w:t>
            </w:r>
            <w:r>
              <w:rPr>
                <w:rFonts w:hint="eastAsia" w:asciiTheme="minorEastAsia" w:hAnsiTheme="minorEastAsia"/>
                <w:sz w:val="24"/>
                <w:szCs w:val="24"/>
                <w:highlight w:val="none"/>
                <w:lang w:val="en-US" w:eastAsia="zh-CN"/>
              </w:rPr>
              <w:t>3</w:t>
            </w:r>
            <w:r>
              <w:rPr>
                <w:rFonts w:hint="eastAsia" w:asciiTheme="minorEastAsia" w:hAnsiTheme="minorEastAsia"/>
                <w:sz w:val="24"/>
                <w:szCs w:val="24"/>
                <w:highlight w:val="none"/>
              </w:rPr>
              <w:t>分</w:t>
            </w:r>
            <w:r>
              <w:rPr>
                <w:rFonts w:hint="eastAsia" w:asciiTheme="minorEastAsia" w:hAnsiTheme="minorEastAsia"/>
                <w:sz w:val="24"/>
                <w:szCs w:val="24"/>
                <w:highlight w:val="none"/>
                <w:lang w:eastAsia="zh-CN"/>
              </w:rPr>
              <w:t>；质量保证措施较齐全、较合理的</w:t>
            </w:r>
            <w:r>
              <w:rPr>
                <w:rFonts w:hint="eastAsia" w:asciiTheme="minorEastAsia" w:hAnsiTheme="minorEastAsia"/>
                <w:sz w:val="24"/>
                <w:szCs w:val="24"/>
                <w:highlight w:val="none"/>
              </w:rPr>
              <w:t>得</w:t>
            </w:r>
            <w:r>
              <w:rPr>
                <w:rFonts w:hint="eastAsia" w:asciiTheme="minorEastAsia" w:hAnsiTheme="minorEastAsia"/>
                <w:sz w:val="24"/>
                <w:szCs w:val="24"/>
                <w:highlight w:val="none"/>
                <w:lang w:val="en-US" w:eastAsia="zh-CN"/>
              </w:rPr>
              <w:t>2</w:t>
            </w:r>
            <w:r>
              <w:rPr>
                <w:rFonts w:hint="eastAsia" w:asciiTheme="minorEastAsia" w:hAnsiTheme="minorEastAsia"/>
                <w:sz w:val="24"/>
                <w:szCs w:val="24"/>
                <w:highlight w:val="none"/>
              </w:rPr>
              <w:t>分</w:t>
            </w:r>
            <w:r>
              <w:rPr>
                <w:rFonts w:hint="eastAsia" w:asciiTheme="minorEastAsia" w:hAnsiTheme="minorEastAsia"/>
                <w:sz w:val="24"/>
                <w:szCs w:val="24"/>
                <w:highlight w:val="none"/>
                <w:lang w:eastAsia="zh-CN"/>
              </w:rPr>
              <w:t>；质量保证措施基本满足要求的得</w:t>
            </w:r>
            <w:r>
              <w:rPr>
                <w:rFonts w:hint="eastAsia" w:asciiTheme="minorEastAsia" w:hAnsiTheme="minorEastAsia"/>
                <w:sz w:val="24"/>
                <w:szCs w:val="24"/>
                <w:highlight w:val="none"/>
                <w:lang w:val="en-US" w:eastAsia="zh-CN"/>
              </w:rPr>
              <w:t>1分；</w:t>
            </w:r>
            <w:r>
              <w:rPr>
                <w:rFonts w:hint="eastAsia" w:asciiTheme="minorEastAsia" w:hAnsiTheme="minorEastAsia"/>
                <w:sz w:val="24"/>
                <w:szCs w:val="24"/>
                <w:highlight w:val="none"/>
              </w:rPr>
              <w:t>未提供此项不得分。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37" w:type="pct"/>
            <w:vMerge w:val="continue"/>
            <w:vAlign w:val="center"/>
          </w:tcPr>
          <w:p>
            <w:pPr>
              <w:adjustRightInd w:val="0"/>
              <w:snapToGrid w:val="0"/>
              <w:jc w:val="center"/>
              <w:rPr>
                <w:rFonts w:hint="eastAsia" w:ascii="宋体" w:hAnsi="宋体" w:eastAsia="宋体" w:cs="宋体"/>
                <w:sz w:val="24"/>
                <w:szCs w:val="24"/>
                <w:highlight w:val="none"/>
              </w:rPr>
            </w:pPr>
          </w:p>
        </w:tc>
        <w:tc>
          <w:tcPr>
            <w:tcW w:w="745" w:type="pct"/>
            <w:vAlign w:val="center"/>
          </w:tcPr>
          <w:p>
            <w:pPr>
              <w:rPr>
                <w:rFonts w:hint="eastAsia" w:ascii="宋体" w:hAnsi="宋体" w:eastAsia="宋体" w:cs="宋体"/>
                <w:color w:val="FF0000"/>
                <w:sz w:val="24"/>
                <w:szCs w:val="24"/>
                <w:highlight w:val="none"/>
              </w:rPr>
            </w:pPr>
            <w:r>
              <w:rPr>
                <w:rFonts w:hint="eastAsia" w:asciiTheme="minorEastAsia" w:hAnsiTheme="minorEastAsia"/>
                <w:sz w:val="24"/>
                <w:szCs w:val="24"/>
                <w:highlight w:val="none"/>
                <w:lang w:eastAsia="zh-CN"/>
              </w:rPr>
              <w:t>安装及</w:t>
            </w:r>
            <w:r>
              <w:rPr>
                <w:rFonts w:hint="eastAsia" w:asciiTheme="minorEastAsia" w:hAnsiTheme="minorEastAsia"/>
                <w:sz w:val="24"/>
                <w:szCs w:val="24"/>
                <w:highlight w:val="none"/>
              </w:rPr>
              <w:t>验收方案</w:t>
            </w:r>
          </w:p>
        </w:tc>
        <w:tc>
          <w:tcPr>
            <w:tcW w:w="421" w:type="pct"/>
            <w:vAlign w:val="center"/>
          </w:tcPr>
          <w:p>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3396" w:type="pct"/>
            <w:vAlign w:val="center"/>
          </w:tcPr>
          <w:p>
            <w:pPr>
              <w:rPr>
                <w:rFonts w:hint="eastAsia" w:ascii="宋体" w:hAnsi="宋体" w:eastAsia="宋体" w:cs="宋体"/>
                <w:color w:val="FF0000"/>
                <w:sz w:val="24"/>
                <w:szCs w:val="24"/>
                <w:highlight w:val="none"/>
              </w:rPr>
            </w:pPr>
            <w:r>
              <w:rPr>
                <w:rFonts w:hint="eastAsia" w:ascii="宋体" w:hAnsi="宋体" w:eastAsia="宋体" w:cs="宋体"/>
                <w:bCs/>
                <w:sz w:val="24"/>
                <w:szCs w:val="24"/>
                <w:highlight w:val="none"/>
                <w:lang w:val="en-US" w:eastAsia="zh-CN"/>
              </w:rPr>
              <w:t>根据供应商提供的安装及验收方案的合理性及完整性进行评分：方案针对性强、可行性强得3分；方案针对性强、具有一定可行性得2分；方案基本满足要求得1分；未提供不得分。</w:t>
            </w:r>
          </w:p>
        </w:tc>
      </w:tr>
    </w:tbl>
    <w:p>
      <w:pPr>
        <w:rPr>
          <w:highlight w:val="none"/>
        </w:rPr>
      </w:pPr>
      <w:bookmarkStart w:id="120" w:name="_Toc38457859"/>
      <w:r>
        <w:rPr>
          <w:highlight w:val="none"/>
        </w:rPr>
        <w:br w:type="page"/>
      </w:r>
    </w:p>
    <w:p>
      <w:pPr>
        <w:pStyle w:val="3"/>
        <w:jc w:val="center"/>
        <w:rPr>
          <w:color w:val="000000" w:themeColor="text1"/>
          <w:sz w:val="36"/>
          <w:szCs w:val="36"/>
          <w:highlight w:val="none"/>
          <w14:textFill>
            <w14:solidFill>
              <w14:schemeClr w14:val="tx1"/>
            </w14:solidFill>
          </w14:textFill>
        </w:rPr>
      </w:pPr>
      <w:bookmarkStart w:id="121" w:name="_Toc65158809"/>
      <w:r>
        <w:rPr>
          <w:rFonts w:hint="eastAsia"/>
          <w:color w:val="000000" w:themeColor="text1"/>
          <w:sz w:val="36"/>
          <w:szCs w:val="36"/>
          <w:highlight w:val="none"/>
          <w14:textFill>
            <w14:solidFill>
              <w14:schemeClr w14:val="tx1"/>
            </w14:solidFill>
          </w14:textFill>
        </w:rPr>
        <w:t>合同书格式</w:t>
      </w:r>
      <w:bookmarkEnd w:id="120"/>
      <w:bookmarkEnd w:id="121"/>
    </w:p>
    <w:p>
      <w:pPr>
        <w:adjustRightInd w:val="0"/>
        <w:snapToGrid w:val="0"/>
        <w:spacing w:line="360" w:lineRule="auto"/>
        <w:jc w:val="center"/>
        <w:rPr>
          <w:rFonts w:ascii="黑体" w:hAnsi="黑体" w:eastAsia="黑体"/>
          <w:color w:val="000000" w:themeColor="text1"/>
          <w:kern w:val="0"/>
          <w:sz w:val="36"/>
          <w:szCs w:val="36"/>
          <w:highlight w:val="none"/>
          <w14:textFill>
            <w14:solidFill>
              <w14:schemeClr w14:val="tx1"/>
            </w14:solidFill>
          </w14:textFill>
        </w:rPr>
      </w:pPr>
      <w:bookmarkStart w:id="122" w:name="_Hlk64712833"/>
      <w:r>
        <w:rPr>
          <w:rFonts w:hint="eastAsia" w:ascii="黑体" w:hAnsi="黑体" w:eastAsia="黑体"/>
          <w:color w:val="000000" w:themeColor="text1"/>
          <w:kern w:val="0"/>
          <w:sz w:val="36"/>
          <w:szCs w:val="36"/>
          <w:highlight w:val="none"/>
          <w:u w:val="single"/>
          <w14:textFill>
            <w14:solidFill>
              <w14:schemeClr w14:val="tx1"/>
            </w14:solidFill>
          </w14:textFill>
        </w:rPr>
        <w:t>（项目名称）</w:t>
      </w:r>
      <w:r>
        <w:rPr>
          <w:rFonts w:hint="eastAsia" w:ascii="黑体" w:hAnsi="黑体" w:eastAsia="黑体"/>
          <w:color w:val="000000" w:themeColor="text1"/>
          <w:kern w:val="0"/>
          <w:sz w:val="36"/>
          <w:szCs w:val="36"/>
          <w:highlight w:val="none"/>
          <w14:textFill>
            <w14:solidFill>
              <w14:schemeClr w14:val="tx1"/>
            </w14:solidFill>
          </w14:textFill>
        </w:rPr>
        <w:t>项目服务购销</w:t>
      </w:r>
      <w:r>
        <w:rPr>
          <w:rFonts w:ascii="黑体" w:hAnsi="黑体" w:eastAsia="黑体"/>
          <w:color w:val="000000" w:themeColor="text1"/>
          <w:kern w:val="0"/>
          <w:sz w:val="36"/>
          <w:szCs w:val="36"/>
          <w:highlight w:val="none"/>
          <w14:textFill>
            <w14:solidFill>
              <w14:schemeClr w14:val="tx1"/>
            </w14:solidFill>
          </w14:textFill>
        </w:rPr>
        <w:t>合同</w:t>
      </w:r>
    </w:p>
    <w:p>
      <w:pPr>
        <w:widowControl/>
        <w:autoSpaceDE w:val="0"/>
        <w:autoSpaceDN w:val="0"/>
        <w:adjustRightInd w:val="0"/>
        <w:snapToGrid w:val="0"/>
        <w:spacing w:line="360" w:lineRule="auto"/>
        <w:ind w:firstLine="6660" w:firstLineChars="2764"/>
        <w:jc w:val="left"/>
        <w:textAlignment w:val="bottom"/>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合同编号：</w:t>
      </w:r>
    </w:p>
    <w:p>
      <w:pPr>
        <w:widowControl/>
        <w:autoSpaceDE w:val="0"/>
        <w:autoSpaceDN w:val="0"/>
        <w:adjustRightInd w:val="0"/>
        <w:snapToGrid w:val="0"/>
        <w:spacing w:line="360" w:lineRule="auto"/>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甲方：湖北科技学院</w:t>
      </w:r>
    </w:p>
    <w:p>
      <w:pPr>
        <w:widowControl/>
        <w:autoSpaceDE w:val="0"/>
        <w:autoSpaceDN w:val="0"/>
        <w:adjustRightInd w:val="0"/>
        <w:snapToGrid w:val="0"/>
        <w:spacing w:line="360" w:lineRule="auto"/>
        <w:textAlignment w:val="bottom"/>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乙方：</w:t>
      </w:r>
    </w:p>
    <w:p>
      <w:pPr>
        <w:spacing w:line="36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签订地点：湖北省咸宁市咸宁大道88号</w:t>
      </w:r>
    </w:p>
    <w:p>
      <w:pPr>
        <w:spacing w:line="360" w:lineRule="auto"/>
        <w:ind w:firstLine="480" w:firstLineChars="200"/>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根据《中华人民共和国合同法》</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《中华人民共和国政府采购法》及</w:t>
      </w:r>
      <w:r>
        <w:rPr>
          <w:rFonts w:hint="eastAsia" w:ascii="宋体" w:hAnsi="宋体" w:eastAsia="宋体"/>
          <w:color w:val="000000" w:themeColor="text1"/>
          <w:sz w:val="24"/>
          <w:szCs w:val="24"/>
          <w:highlight w:val="none"/>
          <w14:textFill>
            <w14:solidFill>
              <w14:schemeClr w14:val="tx1"/>
            </w14:solidFill>
          </w14:textFill>
        </w:rPr>
        <w:t>其他</w:t>
      </w:r>
      <w:r>
        <w:rPr>
          <w:rFonts w:ascii="宋体" w:hAnsi="宋体" w:eastAsia="宋体"/>
          <w:color w:val="000000" w:themeColor="text1"/>
          <w:sz w:val="24"/>
          <w:szCs w:val="24"/>
          <w:highlight w:val="none"/>
          <w14:textFill>
            <w14:solidFill>
              <w14:schemeClr w14:val="tx1"/>
            </w14:solidFill>
          </w14:textFill>
        </w:rPr>
        <w:t>相关规定，</w:t>
      </w:r>
      <w:r>
        <w:rPr>
          <w:rFonts w:hint="eastAsia" w:ascii="宋体" w:hAnsi="宋体" w:eastAsia="宋体"/>
          <w:color w:val="000000" w:themeColor="text1"/>
          <w:sz w:val="24"/>
          <w:szCs w:val="24"/>
          <w:highlight w:val="none"/>
          <w14:textFill>
            <w14:solidFill>
              <w14:schemeClr w14:val="tx1"/>
            </w14:solidFill>
          </w14:textFill>
        </w:rPr>
        <w:t>结合项目</w:t>
      </w:r>
      <w:r>
        <w:rPr>
          <w:rFonts w:hint="eastAsia" w:ascii="宋体" w:hAnsi="宋体" w:eastAsia="宋体" w:cs="Times New Roman"/>
          <w:color w:val="000000"/>
          <w:kern w:val="0"/>
          <w:sz w:val="24"/>
          <w:highlight w:val="none"/>
        </w:rPr>
        <w:t>竞争性磋商文件、竞争性磋商响应文件、磋商记录、澄清修正文件、成交通知书、成交供应商承诺书等采购文书</w:t>
      </w:r>
      <w:r>
        <w:rPr>
          <w:rFonts w:hint="eastAsia" w:ascii="宋体" w:hAnsi="宋体" w:eastAsia="宋体"/>
          <w:color w:val="000000" w:themeColor="text1"/>
          <w:sz w:val="24"/>
          <w:szCs w:val="24"/>
          <w:highlight w:val="none"/>
          <w14:textFill>
            <w14:solidFill>
              <w14:schemeClr w14:val="tx1"/>
            </w14:solidFill>
          </w14:textFill>
        </w:rPr>
        <w:t>相关要求和内容，制定本</w:t>
      </w:r>
      <w:r>
        <w:rPr>
          <w:rFonts w:ascii="宋体" w:hAnsi="宋体" w:eastAsia="宋体"/>
          <w:color w:val="000000" w:themeColor="text1"/>
          <w:sz w:val="24"/>
          <w:szCs w:val="24"/>
          <w:highlight w:val="none"/>
          <w14:textFill>
            <w14:solidFill>
              <w14:schemeClr w14:val="tx1"/>
            </w14:solidFill>
          </w14:textFill>
        </w:rPr>
        <w:t>合同</w:t>
      </w:r>
      <w:r>
        <w:rPr>
          <w:rFonts w:hint="eastAsia" w:ascii="宋体" w:hAnsi="宋体" w:eastAsia="宋体"/>
          <w:color w:val="000000" w:themeColor="text1"/>
          <w:sz w:val="24"/>
          <w:szCs w:val="24"/>
          <w:highlight w:val="none"/>
          <w14:textFill>
            <w14:solidFill>
              <w14:schemeClr w14:val="tx1"/>
            </w14:solidFill>
          </w14:textFill>
        </w:rPr>
        <w:t>，双方共同遵守</w:t>
      </w:r>
      <w:r>
        <w:rPr>
          <w:rFonts w:ascii="宋体" w:hAnsi="宋体" w:eastAsia="宋体"/>
          <w:color w:val="000000" w:themeColor="text1"/>
          <w:sz w:val="24"/>
          <w:szCs w:val="24"/>
          <w:highlight w:val="none"/>
          <w14:textFill>
            <w14:solidFill>
              <w14:schemeClr w14:val="tx1"/>
            </w14:solidFill>
          </w14:textFill>
        </w:rPr>
        <w:t>。</w:t>
      </w:r>
    </w:p>
    <w:p>
      <w:pPr>
        <w:pStyle w:val="30"/>
        <w:adjustRightInd w:val="0"/>
        <w:snapToGrid w:val="0"/>
        <w:spacing w:before="120" w:beforeLines="50" w:beforeAutospacing="0" w:after="0" w:afterAutospacing="0" w:line="360" w:lineRule="auto"/>
        <w:rPr>
          <w:rFonts w:hint="default" w:cs="Arial"/>
          <w:b/>
          <w:color w:val="000000" w:themeColor="text1"/>
          <w:highlight w:val="none"/>
          <w14:textFill>
            <w14:solidFill>
              <w14:schemeClr w14:val="tx1"/>
            </w14:solidFill>
          </w14:textFill>
        </w:rPr>
      </w:pPr>
      <w:r>
        <w:rPr>
          <w:rFonts w:cs="Arial"/>
          <w:b/>
          <w:color w:val="000000" w:themeColor="text1"/>
          <w:highlight w:val="none"/>
          <w14:textFill>
            <w14:solidFill>
              <w14:schemeClr w14:val="tx1"/>
            </w14:solidFill>
          </w14:textFill>
        </w:rPr>
        <w:t>一、标的、数量、价款</w:t>
      </w:r>
    </w:p>
    <w:tbl>
      <w:tblPr>
        <w:tblStyle w:val="3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08" w:type="dxa"/>
          <w:bottom w:w="15" w:type="dxa"/>
          <w:right w:w="108" w:type="dxa"/>
        </w:tblCellMar>
      </w:tblPr>
      <w:tblGrid>
        <w:gridCol w:w="773"/>
        <w:gridCol w:w="1306"/>
        <w:gridCol w:w="2372"/>
        <w:gridCol w:w="773"/>
        <w:gridCol w:w="773"/>
        <w:gridCol w:w="773"/>
        <w:gridCol w:w="1574"/>
        <w:gridCol w:w="7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序号</w:t>
            </w:r>
          </w:p>
        </w:tc>
        <w:tc>
          <w:tcPr>
            <w:tcW w:w="716"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服务名称</w:t>
            </w:r>
          </w:p>
        </w:tc>
        <w:tc>
          <w:tcPr>
            <w:tcW w:w="1301"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具体服务响应内容</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数量</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单位</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单价</w:t>
            </w:r>
          </w:p>
        </w:tc>
        <w:tc>
          <w:tcPr>
            <w:tcW w:w="863"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金额（元）</w:t>
            </w:r>
          </w:p>
        </w:tc>
        <w:tc>
          <w:tcPr>
            <w:tcW w:w="424" w:type="pct"/>
            <w:shd w:val="clear" w:color="auto" w:fill="BEBEBE" w:themeFill="background1" w:themeFillShade="BF"/>
            <w:vAlign w:val="center"/>
          </w:tcPr>
          <w:p>
            <w:pPr>
              <w:widowControl/>
              <w:adjustRightInd w:val="0"/>
              <w:snapToGrid w:val="0"/>
              <w:jc w:val="center"/>
              <w:rPr>
                <w:rFonts w:ascii="宋体" w:hAnsi="宋体" w:eastAsia="宋体"/>
                <w:bCs/>
                <w:color w:val="000000" w:themeColor="text1"/>
                <w:kern w:val="0"/>
                <w:sz w:val="24"/>
                <w:szCs w:val="24"/>
                <w:highlight w:val="none"/>
                <w14:textFill>
                  <w14:solidFill>
                    <w14:schemeClr w14:val="tx1"/>
                  </w14:solidFill>
                </w14:textFill>
              </w:rPr>
            </w:pPr>
            <w:r>
              <w:rPr>
                <w:rFonts w:hint="eastAsia" w:ascii="宋体" w:hAnsi="宋体" w:eastAsia="宋体"/>
                <w:bCs/>
                <w:color w:val="000000" w:themeColor="text1"/>
                <w:kern w:val="0"/>
                <w:sz w:val="24"/>
                <w:szCs w:val="24"/>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1</w:t>
            </w:r>
          </w:p>
        </w:tc>
        <w:tc>
          <w:tcPr>
            <w:tcW w:w="716"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863"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r>
              <w:rPr>
                <w:rFonts w:hint="eastAsia" w:ascii="宋体" w:hAnsi="宋体"/>
                <w:color w:val="000000" w:themeColor="text1"/>
                <w:szCs w:val="24"/>
                <w:highlight w:val="none"/>
                <w14:textFill>
                  <w14:solidFill>
                    <w14:schemeClr w14:val="tx1"/>
                  </w14:solidFill>
                </w14:textFill>
              </w:rPr>
              <w:t>2</w:t>
            </w:r>
          </w:p>
        </w:tc>
        <w:tc>
          <w:tcPr>
            <w:tcW w:w="716"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sz w:val="24"/>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863"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c>
          <w:tcPr>
            <w:tcW w:w="424" w:type="pct"/>
            <w:vAlign w:val="center"/>
          </w:tcPr>
          <w:p>
            <w:pPr>
              <w:pStyle w:val="93"/>
              <w:tabs>
                <w:tab w:val="left" w:pos="180"/>
              </w:tabs>
              <w:snapToGrid w:val="0"/>
              <w:ind w:left="0" w:firstLine="0"/>
              <w:jc w:val="center"/>
              <w:rPr>
                <w:rFonts w:ascii="宋体" w:hAnsi="宋体"/>
                <w:color w:val="000000" w:themeColor="text1"/>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3</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4</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5</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6</w:t>
            </w:r>
          </w:p>
        </w:tc>
        <w:tc>
          <w:tcPr>
            <w:tcW w:w="716"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1301"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863"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c>
          <w:tcPr>
            <w:tcW w:w="424" w:type="pct"/>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08" w:type="dxa"/>
            <w:bottom w:w="15" w:type="dxa"/>
            <w:right w:w="108" w:type="dxa"/>
          </w:tblCellMar>
        </w:tblPrEx>
        <w:trPr>
          <w:trHeight w:val="567" w:hRule="atLeast"/>
          <w:jc w:val="center"/>
        </w:trPr>
        <w:tc>
          <w:tcPr>
            <w:tcW w:w="5000" w:type="pct"/>
            <w:gridSpan w:val="8"/>
            <w:vAlign w:val="center"/>
          </w:tcPr>
          <w:p>
            <w:pPr>
              <w:widowControl/>
              <w:adjustRightInd w:val="0"/>
              <w:snapToGrid w:val="0"/>
              <w:jc w:val="center"/>
              <w:rPr>
                <w:rFonts w:ascii="宋体" w:hAnsi="宋体" w:eastAsia="宋体"/>
                <w:color w:val="000000" w:themeColor="text1"/>
                <w:kern w:val="0"/>
                <w:sz w:val="24"/>
                <w:szCs w:val="24"/>
                <w:highlight w:val="none"/>
                <w14:textFill>
                  <w14:solidFill>
                    <w14:schemeClr w14:val="tx1"/>
                  </w14:solidFill>
                </w14:textFill>
              </w:rPr>
            </w:pPr>
            <w:r>
              <w:rPr>
                <w:rFonts w:hint="eastAsia" w:ascii="宋体" w:hAnsi="宋体" w:eastAsia="宋体"/>
                <w:color w:val="000000" w:themeColor="text1"/>
                <w:kern w:val="0"/>
                <w:sz w:val="24"/>
                <w:szCs w:val="24"/>
                <w:highlight w:val="none"/>
                <w14:textFill>
                  <w14:solidFill>
                    <w14:schemeClr w14:val="tx1"/>
                  </w14:solidFill>
                </w14:textFill>
              </w:rPr>
              <w:t>合计：人民币大写</w:t>
            </w:r>
            <w:r>
              <w:rPr>
                <w:rFonts w:hint="eastAsia" w:ascii="宋体" w:hAnsi="宋体"/>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万</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仟</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佰</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拾</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元整</w:t>
            </w:r>
            <w:r>
              <w:rPr>
                <w:rFonts w:hint="eastAsia" w:ascii="宋体" w:hAnsi="宋体" w:eastAsia="宋体" w:cs="宋体"/>
                <w:b/>
                <w:bCs/>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b/>
                <w:bCs/>
                <w:color w:val="000000" w:themeColor="text1"/>
                <w:kern w:val="0"/>
                <w:sz w:val="24"/>
                <w:highlight w:val="none"/>
                <w:u w:val="single"/>
                <w14:textFill>
                  <w14:solidFill>
                    <w14:schemeClr w14:val="tx1"/>
                  </w14:solidFill>
                </w14:textFill>
              </w:rPr>
              <w:t>　　　</w:t>
            </w:r>
            <w:r>
              <w:rPr>
                <w:rFonts w:hint="eastAsia" w:ascii="宋体" w:hAnsi="宋体" w:eastAsia="宋体" w:cs="宋体"/>
                <w:b/>
                <w:bCs/>
                <w:color w:val="000000" w:themeColor="text1"/>
                <w:kern w:val="0"/>
                <w:sz w:val="24"/>
                <w:szCs w:val="24"/>
                <w:highlight w:val="none"/>
                <w14:textFill>
                  <w14:solidFill>
                    <w14:schemeClr w14:val="tx1"/>
                  </w14:solidFill>
                </w14:textFill>
              </w:rPr>
              <w:t>）</w:t>
            </w:r>
          </w:p>
        </w:tc>
      </w:tr>
    </w:tbl>
    <w:p>
      <w:pPr>
        <w:pStyle w:val="30"/>
        <w:adjustRightInd w:val="0"/>
        <w:snapToGrid w:val="0"/>
        <w:spacing w:before="120" w:beforeLines="50" w:beforeAutospacing="0" w:after="0" w:afterAutospacing="0" w:line="360" w:lineRule="auto"/>
        <w:rPr>
          <w:rFonts w:hint="default" w:cs="Arial"/>
          <w:color w:val="000000" w:themeColor="text1"/>
          <w:highlight w:val="none"/>
          <w14:textFill>
            <w14:solidFill>
              <w14:schemeClr w14:val="tx1"/>
            </w14:solidFill>
          </w14:textFill>
        </w:rPr>
      </w:pPr>
      <w:r>
        <w:rPr>
          <w:rFonts w:cs="Arial"/>
          <w:color w:val="000000" w:themeColor="text1"/>
          <w:highlight w:val="none"/>
          <w14:textFill>
            <w14:solidFill>
              <w14:schemeClr w14:val="tx1"/>
            </w14:solidFill>
          </w14:textFill>
        </w:rPr>
        <w:t>说明：合同价格包含服务采购、税费、商检费及验收、培训、技术服务（包括技术资料、图纸的提供）、质保期保障等的全部费用。</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二、服务与验</w:t>
      </w:r>
      <w:r>
        <w:rPr>
          <w:rFonts w:hAnsi="宋体" w:cs="Arial"/>
          <w:b/>
          <w:color w:val="000000" w:themeColor="text1"/>
          <w:sz w:val="24"/>
          <w:szCs w:val="24"/>
          <w:highlight w:val="none"/>
          <w14:textFill>
            <w14:solidFill>
              <w14:schemeClr w14:val="tx1"/>
            </w14:solidFill>
          </w14:textFill>
        </w:rPr>
        <w:t>收</w:t>
      </w:r>
    </w:p>
    <w:p>
      <w:pPr>
        <w:pStyle w:val="30"/>
        <w:adjustRightInd w:val="0"/>
        <w:snapToGrid w:val="0"/>
        <w:spacing w:before="0" w:beforeAutospacing="0" w:after="0" w:afterAutospacing="0" w:line="360" w:lineRule="auto"/>
        <w:ind w:firstLine="480" w:firstLineChars="200"/>
        <w:jc w:val="both"/>
        <w:rPr>
          <w:rFonts w:hint="default" w:cs="微软雅黑"/>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乙方负责在合同签订后</w:t>
      </w:r>
      <w:r>
        <w:rPr>
          <w:color w:val="000000" w:themeColor="text1"/>
          <w:highlight w:val="none"/>
          <w:u w:val="single"/>
          <w14:textFill>
            <w14:solidFill>
              <w14:schemeClr w14:val="tx1"/>
            </w14:solidFill>
          </w14:textFill>
        </w:rPr>
        <w:t>　　</w:t>
      </w:r>
      <w:r>
        <w:rPr>
          <w:color w:val="000000" w:themeColor="text1"/>
          <w:highlight w:val="none"/>
          <w14:textFill>
            <w14:solidFill>
              <w14:schemeClr w14:val="tx1"/>
            </w14:solidFill>
          </w14:textFill>
        </w:rPr>
        <w:t>个日历日内将项目内符合合同要求的所有服务提供到位。</w:t>
      </w:r>
    </w:p>
    <w:p>
      <w:pPr>
        <w:pStyle w:val="30"/>
        <w:adjustRightInd w:val="0"/>
        <w:snapToGrid w:val="0"/>
        <w:spacing w:before="0" w:beforeAutospacing="0" w:after="0" w:afterAutospacing="0" w:line="360" w:lineRule="auto"/>
        <w:ind w:firstLine="480" w:firstLineChars="200"/>
        <w:rPr>
          <w:rFonts w:hint="default" w:cs="微软雅黑"/>
          <w:color w:val="000000" w:themeColor="text1"/>
          <w:highlight w:val="none"/>
          <w14:textFill>
            <w14:solidFill>
              <w14:schemeClr w14:val="tx1"/>
            </w14:solidFill>
          </w14:textFill>
        </w:rPr>
      </w:pPr>
      <w:r>
        <w:rPr>
          <w:rFonts w:cs="微软雅黑"/>
          <w:color w:val="000000" w:themeColor="text1"/>
          <w:highlight w:val="none"/>
          <w14:textFill>
            <w14:solidFill>
              <w14:schemeClr w14:val="tx1"/>
            </w14:solidFill>
          </w14:textFill>
        </w:rPr>
        <w:t>服务完成后，甲方应在15天内按相关质量标准和合同要求组织验收。甲方在验收中，如果发现服务不合规定，应在30天内向乙方提出书面异议，乙方在接到甲方书面异议后，应在15天内（另有规定或当事人另行商定期限者除外）负责处理，否则，即视为默认甲方提出的异议和处理意见。</w:t>
      </w:r>
    </w:p>
    <w:p>
      <w:pPr>
        <w:pStyle w:val="30"/>
        <w:adjustRightInd w:val="0"/>
        <w:snapToGrid w:val="0"/>
        <w:spacing w:before="120" w:beforeLines="50" w:beforeAutospacing="0" w:after="0" w:afterAutospacing="0" w:line="360" w:lineRule="auto"/>
        <w:rPr>
          <w:rFonts w:hint="default" w:cs="Arial"/>
          <w:b/>
          <w:color w:val="000000" w:themeColor="text1"/>
          <w:highlight w:val="none"/>
          <w14:textFill>
            <w14:solidFill>
              <w14:schemeClr w14:val="tx1"/>
            </w14:solidFill>
          </w14:textFill>
        </w:rPr>
      </w:pPr>
      <w:r>
        <w:rPr>
          <w:rFonts w:cs="Arial"/>
          <w:color w:val="000000" w:themeColor="text1"/>
          <w:highlight w:val="none"/>
          <w14:textFill>
            <w14:solidFill>
              <w14:schemeClr w14:val="tx1"/>
            </w14:solidFill>
          </w14:textFill>
        </w:rPr>
        <w:t>三、</w:t>
      </w:r>
      <w:r>
        <w:rPr>
          <w:rFonts w:cs="Arial"/>
          <w:b/>
          <w:color w:val="000000" w:themeColor="text1"/>
          <w:highlight w:val="none"/>
          <w14:textFill>
            <w14:solidFill>
              <w14:schemeClr w14:val="tx1"/>
            </w14:solidFill>
          </w14:textFill>
        </w:rPr>
        <w:t>付款</w:t>
      </w:r>
    </w:p>
    <w:p>
      <w:pPr>
        <w:adjustRightInd w:val="0"/>
        <w:snapToGrid w:val="0"/>
        <w:spacing w:line="360" w:lineRule="auto"/>
        <w:ind w:firstLine="480" w:firstLineChars="200"/>
        <w:rPr>
          <w:rFonts w:ascii="宋体" w:hAnsi="宋体" w:eastAsia="宋体" w:cs="Arial"/>
          <w:color w:val="000000" w:themeColor="text1"/>
          <w:kern w:val="0"/>
          <w:sz w:val="24"/>
          <w:szCs w:val="24"/>
          <w:highlight w:val="none"/>
          <w14:textFill>
            <w14:solidFill>
              <w14:schemeClr w14:val="tx1"/>
            </w14:solidFill>
          </w14:textFill>
        </w:rPr>
      </w:pPr>
      <w:r>
        <w:rPr>
          <w:rFonts w:hint="eastAsia" w:ascii="宋体" w:hAnsi="宋体" w:eastAsia="宋体" w:cs="Arial"/>
          <w:color w:val="000000" w:themeColor="text1"/>
          <w:kern w:val="0"/>
          <w:sz w:val="24"/>
          <w:szCs w:val="24"/>
          <w:highlight w:val="none"/>
          <w14:textFill>
            <w14:solidFill>
              <w14:schemeClr w14:val="tx1"/>
            </w14:solidFill>
          </w14:textFill>
        </w:rPr>
        <w:t>乙方在接到本项目成交通知书之前，须向甲方支付本项目合同金额的</w:t>
      </w:r>
      <w:r>
        <w:rPr>
          <w:rFonts w:hint="eastAsia" w:ascii="宋体" w:hAnsi="宋体" w:eastAsia="宋体" w:cs="Arial"/>
          <w:color w:val="000000" w:themeColor="text1"/>
          <w:kern w:val="0"/>
          <w:sz w:val="24"/>
          <w:szCs w:val="24"/>
          <w:highlight w:val="none"/>
          <w:u w:val="single"/>
          <w14:textFill>
            <w14:solidFill>
              <w14:schemeClr w14:val="tx1"/>
            </w14:solidFill>
          </w14:textFill>
        </w:rPr>
        <w:t xml:space="preserve"> 5%</w:t>
      </w:r>
      <w:r>
        <w:rPr>
          <w:rFonts w:ascii="宋体" w:hAnsi="宋体" w:eastAsia="宋体" w:cs="Arial"/>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Arial"/>
          <w:color w:val="000000" w:themeColor="text1"/>
          <w:kern w:val="0"/>
          <w:sz w:val="24"/>
          <w:szCs w:val="24"/>
          <w:highlight w:val="none"/>
          <w14:textFill>
            <w14:solidFill>
              <w14:schemeClr w14:val="tx1"/>
            </w14:solidFill>
          </w14:textFill>
        </w:rPr>
        <w:t>（人民币大写：</w:t>
      </w:r>
      <w:r>
        <w:rPr>
          <w:rFonts w:hint="eastAsia" w:ascii="宋体" w:hAnsi="宋体" w:cs="Arial"/>
          <w:color w:val="000000" w:themeColor="text1"/>
          <w:kern w:val="0"/>
          <w:sz w:val="24"/>
          <w:highlight w:val="none"/>
          <w:u w:val="single"/>
          <w14:textFill>
            <w14:solidFill>
              <w14:schemeClr w14:val="tx1"/>
            </w14:solidFill>
          </w14:textFill>
        </w:rPr>
        <w:t>　</w:t>
      </w:r>
      <w:r>
        <w:rPr>
          <w:rFonts w:hint="eastAsia" w:ascii="宋体" w:hAnsi="宋体" w:eastAsia="宋体" w:cs="Arial"/>
          <w:color w:val="000000" w:themeColor="text1"/>
          <w:kern w:val="0"/>
          <w:sz w:val="24"/>
          <w:szCs w:val="24"/>
          <w:highlight w:val="none"/>
          <w:u w:val="single"/>
          <w14:textFill>
            <w14:solidFill>
              <w14:schemeClr w14:val="tx1"/>
            </w14:solidFill>
          </w14:textFill>
        </w:rPr>
        <w:t>（¥</w:t>
      </w:r>
      <w:r>
        <w:rPr>
          <w:rFonts w:hint="eastAsia" w:ascii="宋体" w:hAnsi="宋体" w:cs="Arial"/>
          <w:color w:val="000000" w:themeColor="text1"/>
          <w:kern w:val="0"/>
          <w:sz w:val="24"/>
          <w:highlight w:val="none"/>
          <w:u w:val="single"/>
          <w14:textFill>
            <w14:solidFill>
              <w14:schemeClr w14:val="tx1"/>
            </w14:solidFill>
          </w14:textFill>
        </w:rPr>
        <w:t>　　　</w:t>
      </w:r>
      <w:r>
        <w:rPr>
          <w:rFonts w:hint="eastAsia" w:ascii="宋体" w:hAnsi="宋体" w:eastAsia="宋体" w:cs="Arial"/>
          <w:color w:val="000000" w:themeColor="text1"/>
          <w:kern w:val="0"/>
          <w:sz w:val="24"/>
          <w:szCs w:val="24"/>
          <w:highlight w:val="none"/>
          <w:u w:val="single"/>
          <w14:textFill>
            <w14:solidFill>
              <w14:schemeClr w14:val="tx1"/>
            </w14:solidFill>
          </w14:textFill>
        </w:rPr>
        <w:t>）</w:t>
      </w:r>
      <w:r>
        <w:rPr>
          <w:rFonts w:hint="eastAsia" w:ascii="宋体" w:hAnsi="宋体" w:eastAsia="宋体" w:cs="Arial"/>
          <w:color w:val="000000" w:themeColor="text1"/>
          <w:kern w:val="0"/>
          <w:sz w:val="24"/>
          <w:szCs w:val="24"/>
          <w:highlight w:val="none"/>
          <w14:textFill>
            <w14:solidFill>
              <w14:schemeClr w14:val="tx1"/>
            </w14:solidFill>
          </w14:textFill>
        </w:rPr>
        <w:t>）作为合同履约及质保金到甲方指定账户，服务验收完毕后30个工作日内，甲方支付合同全款。保质期满后若无质量问题，甲方无息退还合同履约及质保金（若因乙方原因逾期不办理报账手续，每逾期达到15天，则质保金推迟一年退还）。</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四、售后服务</w:t>
      </w:r>
    </w:p>
    <w:p>
      <w:pPr>
        <w:pStyle w:val="93"/>
        <w:snapToGrid w:val="0"/>
        <w:spacing w:line="360" w:lineRule="auto"/>
        <w:ind w:left="0" w:firstLine="480" w:firstLineChars="200"/>
        <w:rPr>
          <w:rFonts w:ascii="宋体" w:hAnsi="宋体"/>
          <w:color w:val="000000" w:themeColor="text1"/>
          <w:szCs w:val="24"/>
          <w:highlight w:val="none"/>
          <w14:textFill>
            <w14:solidFill>
              <w14:schemeClr w14:val="tx1"/>
            </w14:solidFill>
          </w14:textFill>
        </w:rPr>
      </w:pPr>
      <w:r>
        <w:rPr>
          <w:rFonts w:hint="eastAsia" w:ascii="宋体" w:hAnsi="宋体" w:cs="Arial"/>
          <w:color w:val="000000" w:themeColor="text1"/>
          <w:szCs w:val="24"/>
          <w:highlight w:val="none"/>
          <w14:textFill>
            <w14:solidFill>
              <w14:schemeClr w14:val="tx1"/>
            </w14:solidFill>
          </w14:textFill>
        </w:rPr>
        <w:t>本项目所有服务免费质保时间从验收合格之日开始，质保期满为止。质保期内出现非人为因素引起的质量问题，乙方负责免费维修维护，并在甲方提出申请后24内作出响应。质保期满后，乙方仍须为甲方提供本项目售后服务，设备维修仅收配件费用。</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五、其他约定</w:t>
      </w:r>
    </w:p>
    <w:p>
      <w:pPr>
        <w:autoSpaceDN w:val="0"/>
        <w:adjustRightInd w:val="0"/>
        <w:snapToGrid w:val="0"/>
        <w:spacing w:line="360" w:lineRule="auto"/>
        <w:ind w:firstLine="482" w:firstLineChars="200"/>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s="微软雅黑"/>
          <w:b/>
          <w:color w:val="000000" w:themeColor="text1"/>
          <w:sz w:val="24"/>
          <w:szCs w:val="24"/>
          <w:highlight w:val="none"/>
          <w14:textFill>
            <w14:solidFill>
              <w14:schemeClr w14:val="tx1"/>
            </w14:solidFill>
          </w14:textFill>
        </w:rPr>
        <w:t>1、逾期服务赔偿</w:t>
      </w:r>
      <w:r>
        <w:rPr>
          <w:rFonts w:hint="eastAsia" w:ascii="宋体" w:hAnsi="宋体" w:eastAsia="宋体" w:cs="微软雅黑"/>
          <w:color w:val="000000" w:themeColor="text1"/>
          <w:sz w:val="24"/>
          <w:szCs w:val="24"/>
          <w:highlight w:val="none"/>
          <w14:textFill>
            <w14:solidFill>
              <w14:schemeClr w14:val="tx1"/>
            </w14:solidFill>
          </w14:textFill>
        </w:rPr>
        <w:t>：若乙方服务逾期，按逾期验收部分每天</w:t>
      </w:r>
      <w:r>
        <w:rPr>
          <w:rFonts w:hint="eastAsia" w:ascii="宋体" w:hAnsi="宋体" w:eastAsia="宋体" w:cs="微软雅黑"/>
          <w:color w:val="000000" w:themeColor="text1"/>
          <w:sz w:val="24"/>
          <w:szCs w:val="24"/>
          <w:highlight w:val="none"/>
          <w:u w:val="single"/>
          <w14:textFill>
            <w14:solidFill>
              <w14:schemeClr w14:val="tx1"/>
            </w14:solidFill>
          </w14:textFill>
        </w:rPr>
        <w:t xml:space="preserve"> 0.1% </w:t>
      </w:r>
      <w:r>
        <w:rPr>
          <w:rFonts w:hint="eastAsia" w:ascii="宋体" w:hAnsi="宋体" w:eastAsia="宋体" w:cs="微软雅黑"/>
          <w:color w:val="000000" w:themeColor="text1"/>
          <w:sz w:val="24"/>
          <w:szCs w:val="24"/>
          <w:highlight w:val="none"/>
          <w14:textFill>
            <w14:solidFill>
              <w14:schemeClr w14:val="tx1"/>
            </w14:solidFill>
          </w14:textFill>
        </w:rPr>
        <w:t>计算（最高不超过5%），向甲方偿付逾期违约金，并承担甲方因此所受的其他损失费用。</w:t>
      </w:r>
      <w:r>
        <w:rPr>
          <w:rFonts w:hint="eastAsia" w:ascii="宋体" w:hAnsi="宋体" w:eastAsia="宋体"/>
          <w:color w:val="000000" w:themeColor="text1"/>
          <w:sz w:val="24"/>
          <w:szCs w:val="24"/>
          <w:highlight w:val="none"/>
          <w14:textFill>
            <w14:solidFill>
              <w14:schemeClr w14:val="tx1"/>
            </w14:solidFill>
          </w14:textFill>
        </w:rPr>
        <w:t>如果遇到天灾等不可抗拒因素导致不能按时服务，乙方须提供相关证据后，可不承担</w:t>
      </w:r>
      <w:r>
        <w:rPr>
          <w:rFonts w:hint="eastAsia" w:ascii="宋体" w:hAnsi="宋体" w:eastAsia="宋体" w:cs="微软雅黑"/>
          <w:color w:val="000000" w:themeColor="text1"/>
          <w:sz w:val="24"/>
          <w:szCs w:val="24"/>
          <w:highlight w:val="none"/>
          <w14:textFill>
            <w14:solidFill>
              <w14:schemeClr w14:val="tx1"/>
            </w14:solidFill>
          </w14:textFill>
        </w:rPr>
        <w:t>逾期</w:t>
      </w:r>
      <w:r>
        <w:rPr>
          <w:rFonts w:hint="eastAsia" w:ascii="宋体" w:hAnsi="宋体" w:eastAsia="宋体"/>
          <w:color w:val="000000" w:themeColor="text1"/>
          <w:sz w:val="24"/>
          <w:szCs w:val="24"/>
          <w:highlight w:val="none"/>
          <w14:textFill>
            <w14:solidFill>
              <w14:schemeClr w14:val="tx1"/>
            </w14:solidFill>
          </w14:textFill>
        </w:rPr>
        <w:t>交货责任；若因甲方付款时间延期，乙方也可不承担</w:t>
      </w:r>
      <w:r>
        <w:rPr>
          <w:rFonts w:hint="eastAsia" w:ascii="宋体" w:hAnsi="宋体" w:eastAsia="宋体" w:cs="微软雅黑"/>
          <w:color w:val="000000" w:themeColor="text1"/>
          <w:sz w:val="24"/>
          <w:szCs w:val="24"/>
          <w:highlight w:val="none"/>
          <w14:textFill>
            <w14:solidFill>
              <w14:schemeClr w14:val="tx1"/>
            </w14:solidFill>
          </w14:textFill>
        </w:rPr>
        <w:t>逾期</w:t>
      </w:r>
      <w:r>
        <w:rPr>
          <w:rFonts w:hint="eastAsia" w:ascii="宋体" w:hAnsi="宋体" w:eastAsia="宋体"/>
          <w:color w:val="000000" w:themeColor="text1"/>
          <w:sz w:val="24"/>
          <w:szCs w:val="24"/>
          <w:highlight w:val="none"/>
          <w14:textFill>
            <w14:solidFill>
              <w14:schemeClr w14:val="tx1"/>
            </w14:solidFill>
          </w14:textFill>
        </w:rPr>
        <w:t>交货责任。</w:t>
      </w:r>
    </w:p>
    <w:p>
      <w:pPr>
        <w:autoSpaceDN w:val="0"/>
        <w:adjustRightInd w:val="0"/>
        <w:snapToGrid w:val="0"/>
        <w:spacing w:line="360" w:lineRule="auto"/>
        <w:ind w:firstLine="482" w:firstLineChars="200"/>
        <w:rPr>
          <w:rFonts w:ascii="宋体" w:hAnsi="宋体" w:eastAsia="宋体" w:cs="微软雅黑"/>
          <w:color w:val="000000" w:themeColor="text1"/>
          <w:sz w:val="24"/>
          <w:szCs w:val="24"/>
          <w:highlight w:val="none"/>
          <w14:textFill>
            <w14:solidFill>
              <w14:schemeClr w14:val="tx1"/>
            </w14:solidFill>
          </w14:textFill>
        </w:rPr>
      </w:pPr>
      <w:r>
        <w:rPr>
          <w:rFonts w:ascii="宋体" w:hAnsi="宋体" w:eastAsia="宋体"/>
          <w:b/>
          <w:color w:val="000000" w:themeColor="text1"/>
          <w:sz w:val="24"/>
          <w:szCs w:val="24"/>
          <w:highlight w:val="none"/>
          <w14:textFill>
            <w14:solidFill>
              <w14:schemeClr w14:val="tx1"/>
            </w14:solidFill>
          </w14:textFill>
        </w:rPr>
        <w:t>2</w:t>
      </w:r>
      <w:r>
        <w:rPr>
          <w:rFonts w:hint="eastAsia" w:ascii="宋体" w:hAnsi="宋体" w:eastAsia="宋体"/>
          <w:b/>
          <w:color w:val="000000" w:themeColor="text1"/>
          <w:sz w:val="24"/>
          <w:szCs w:val="24"/>
          <w:highlight w:val="none"/>
          <w14:textFill>
            <w14:solidFill>
              <w14:schemeClr w14:val="tx1"/>
            </w14:solidFill>
          </w14:textFill>
        </w:rPr>
        <w:t>、</w:t>
      </w:r>
      <w:r>
        <w:rPr>
          <w:rFonts w:hint="eastAsia" w:ascii="宋体" w:hAnsi="宋体" w:eastAsia="宋体" w:cs="微软雅黑"/>
          <w:b/>
          <w:color w:val="000000" w:themeColor="text1"/>
          <w:sz w:val="24"/>
          <w:szCs w:val="24"/>
          <w:highlight w:val="none"/>
          <w14:textFill>
            <w14:solidFill>
              <w14:schemeClr w14:val="tx1"/>
            </w14:solidFill>
          </w14:textFill>
        </w:rPr>
        <w:t>逾期付款赔偿</w:t>
      </w:r>
      <w:r>
        <w:rPr>
          <w:rFonts w:hint="eastAsia" w:ascii="宋体" w:hAnsi="宋体" w:eastAsia="宋体" w:cs="微软雅黑"/>
          <w:color w:val="000000" w:themeColor="text1"/>
          <w:sz w:val="24"/>
          <w:szCs w:val="24"/>
          <w:highlight w:val="none"/>
          <w14:textFill>
            <w14:solidFill>
              <w14:schemeClr w14:val="tx1"/>
            </w14:solidFill>
          </w14:textFill>
        </w:rPr>
        <w:t>：若因甲方逾期付款，除因特殊情况外，按逾期未付款部分每天</w:t>
      </w:r>
      <w:r>
        <w:rPr>
          <w:rFonts w:hint="eastAsia" w:ascii="宋体" w:hAnsi="宋体" w:eastAsia="宋体" w:cs="微软雅黑"/>
          <w:color w:val="000000" w:themeColor="text1"/>
          <w:sz w:val="24"/>
          <w:szCs w:val="24"/>
          <w:highlight w:val="none"/>
          <w:u w:val="single"/>
          <w14:textFill>
            <w14:solidFill>
              <w14:schemeClr w14:val="tx1"/>
            </w14:solidFill>
          </w14:textFill>
        </w:rPr>
        <w:t xml:space="preserve"> 0.1% </w:t>
      </w:r>
      <w:r>
        <w:rPr>
          <w:rFonts w:hint="eastAsia" w:ascii="宋体" w:hAnsi="宋体" w:eastAsia="宋体" w:cs="微软雅黑"/>
          <w:color w:val="000000" w:themeColor="text1"/>
          <w:sz w:val="24"/>
          <w:szCs w:val="24"/>
          <w:highlight w:val="none"/>
          <w14:textFill>
            <w14:solidFill>
              <w14:schemeClr w14:val="tx1"/>
            </w14:solidFill>
          </w14:textFill>
        </w:rPr>
        <w:t>计算（最高不超过5%），向乙方偿付逾期违约金。</w:t>
      </w:r>
    </w:p>
    <w:p>
      <w:pPr>
        <w:autoSpaceDN w:val="0"/>
        <w:adjustRightInd w:val="0"/>
        <w:snapToGrid w:val="0"/>
        <w:spacing w:line="360" w:lineRule="auto"/>
        <w:ind w:firstLine="482" w:firstLineChars="200"/>
        <w:rPr>
          <w:rFonts w:ascii="宋体" w:hAnsi="宋体" w:eastAsia="宋体" w:cs="微软雅黑"/>
          <w:color w:val="000000" w:themeColor="text1"/>
          <w:sz w:val="24"/>
          <w:szCs w:val="24"/>
          <w:highlight w:val="none"/>
          <w14:textFill>
            <w14:solidFill>
              <w14:schemeClr w14:val="tx1"/>
            </w14:solidFill>
          </w14:textFill>
        </w:rPr>
      </w:pPr>
      <w:r>
        <w:rPr>
          <w:rFonts w:ascii="宋体" w:hAnsi="宋体" w:eastAsia="宋体" w:cs="微软雅黑"/>
          <w:b/>
          <w:color w:val="000000" w:themeColor="text1"/>
          <w:sz w:val="24"/>
          <w:szCs w:val="24"/>
          <w:highlight w:val="none"/>
          <w14:textFill>
            <w14:solidFill>
              <w14:schemeClr w14:val="tx1"/>
            </w14:solidFill>
          </w14:textFill>
        </w:rPr>
        <w:t>3</w:t>
      </w:r>
      <w:r>
        <w:rPr>
          <w:rFonts w:hint="eastAsia" w:ascii="宋体" w:hAnsi="宋体" w:eastAsia="宋体" w:cs="微软雅黑"/>
          <w:b/>
          <w:color w:val="000000" w:themeColor="text1"/>
          <w:sz w:val="24"/>
          <w:szCs w:val="24"/>
          <w:highlight w:val="none"/>
          <w14:textFill>
            <w14:solidFill>
              <w14:schemeClr w14:val="tx1"/>
            </w14:solidFill>
          </w14:textFill>
        </w:rPr>
        <w:t>、合同终止</w:t>
      </w:r>
      <w:r>
        <w:rPr>
          <w:rFonts w:hint="eastAsia" w:ascii="宋体" w:hAnsi="宋体" w:eastAsia="宋体" w:cs="微软雅黑"/>
          <w:color w:val="000000" w:themeColor="text1"/>
          <w:sz w:val="24"/>
          <w:szCs w:val="24"/>
          <w:highlight w:val="none"/>
          <w14:textFill>
            <w14:solidFill>
              <w14:schemeClr w14:val="tx1"/>
            </w14:solidFill>
          </w14:textFill>
        </w:rPr>
        <w:t>：若乙方服务逾期或所提供服务达不到要求，时间超过合同履行期限一倍的，甲方有权解除合同。</w:t>
      </w:r>
    </w:p>
    <w:p>
      <w:pPr>
        <w:pStyle w:val="30"/>
        <w:adjustRightInd w:val="0"/>
        <w:snapToGrid w:val="0"/>
        <w:spacing w:before="0" w:beforeAutospacing="0" w:after="0" w:afterAutospacing="0" w:line="360" w:lineRule="auto"/>
        <w:ind w:firstLine="482" w:firstLineChars="200"/>
        <w:rPr>
          <w:rFonts w:hint="default"/>
          <w:color w:val="000000" w:themeColor="text1"/>
          <w:highlight w:val="none"/>
          <w14:textFill>
            <w14:solidFill>
              <w14:schemeClr w14:val="tx1"/>
            </w14:solidFill>
          </w14:textFill>
        </w:rPr>
      </w:pPr>
      <w:r>
        <w:rPr>
          <w:rFonts w:hint="default"/>
          <w:b/>
          <w:color w:val="000000" w:themeColor="text1"/>
          <w:highlight w:val="none"/>
          <w14:textFill>
            <w14:solidFill>
              <w14:schemeClr w14:val="tx1"/>
            </w14:solidFill>
          </w14:textFill>
        </w:rPr>
        <w:t>4</w:t>
      </w:r>
      <w:r>
        <w:rPr>
          <w:b/>
          <w:color w:val="000000" w:themeColor="text1"/>
          <w:highlight w:val="none"/>
          <w14:textFill>
            <w14:solidFill>
              <w14:schemeClr w14:val="tx1"/>
            </w14:solidFill>
          </w14:textFill>
        </w:rPr>
        <w:t>、争议解决</w:t>
      </w:r>
      <w:r>
        <w:rPr>
          <w:color w:val="000000" w:themeColor="text1"/>
          <w:highlight w:val="none"/>
          <w14:textFill>
            <w14:solidFill>
              <w14:schemeClr w14:val="tx1"/>
            </w14:solidFill>
          </w14:textFill>
        </w:rPr>
        <w:t>：因本合同引起的任何争议，由双方当事人协商解决，也可由当地工商行政管理部门调解，协商或调解不成的可依法向甲方所在地人民法院起诉。</w:t>
      </w:r>
    </w:p>
    <w:p>
      <w:pPr>
        <w:pStyle w:val="92"/>
        <w:tabs>
          <w:tab w:val="left" w:pos="360"/>
        </w:tabs>
        <w:snapToGrid w:val="0"/>
        <w:spacing w:before="120" w:beforeLines="50" w:line="360" w:lineRule="auto"/>
        <w:rPr>
          <w:rFonts w:hAnsi="宋体" w:cs="Arial"/>
          <w:b/>
          <w:color w:val="000000" w:themeColor="text1"/>
          <w:sz w:val="24"/>
          <w:szCs w:val="24"/>
          <w:highlight w:val="none"/>
          <w14:textFill>
            <w14:solidFill>
              <w14:schemeClr w14:val="tx1"/>
            </w14:solidFill>
          </w14:textFill>
        </w:rPr>
      </w:pPr>
      <w:r>
        <w:rPr>
          <w:rFonts w:hint="eastAsia" w:hAnsi="宋体" w:cs="Arial"/>
          <w:b/>
          <w:color w:val="000000" w:themeColor="text1"/>
          <w:sz w:val="24"/>
          <w:szCs w:val="24"/>
          <w:highlight w:val="none"/>
          <w14:textFill>
            <w14:solidFill>
              <w14:schemeClr w14:val="tx1"/>
            </w14:solidFill>
          </w14:textFill>
        </w:rPr>
        <w:t>六、</w:t>
      </w:r>
      <w:r>
        <w:rPr>
          <w:rFonts w:hAnsi="宋体" w:cs="Arial"/>
          <w:b/>
          <w:color w:val="000000" w:themeColor="text1"/>
          <w:sz w:val="24"/>
          <w:szCs w:val="24"/>
          <w:highlight w:val="none"/>
          <w14:textFill>
            <w14:solidFill>
              <w14:schemeClr w14:val="tx1"/>
            </w14:solidFill>
          </w14:textFill>
        </w:rPr>
        <w:t>附则</w:t>
      </w:r>
    </w:p>
    <w:p>
      <w:pPr>
        <w:pStyle w:val="30"/>
        <w:adjustRightInd w:val="0"/>
        <w:snapToGrid w:val="0"/>
        <w:spacing w:before="0" w:beforeAutospacing="0" w:after="0" w:afterAutospacing="0" w:line="360" w:lineRule="auto"/>
        <w:ind w:firstLine="480" w:firstLineChars="200"/>
        <w:rPr>
          <w:rFonts w:hint="default" w:cs="微软雅黑"/>
          <w:color w:val="000000" w:themeColor="text1"/>
          <w:highlight w:val="none"/>
          <w14:textFill>
            <w14:solidFill>
              <w14:schemeClr w14:val="tx1"/>
            </w14:solidFill>
          </w14:textFill>
        </w:rPr>
      </w:pPr>
      <w:r>
        <w:rPr>
          <w:rFonts w:cs="微软雅黑"/>
          <w:color w:val="000000" w:themeColor="text1"/>
          <w:highlight w:val="none"/>
          <w14:textFill>
            <w14:solidFill>
              <w14:schemeClr w14:val="tx1"/>
            </w14:solidFill>
          </w14:textFill>
        </w:rPr>
        <w:t>本合同一式六份，甲方四份，乙方两份，具有同等法律效力，本合同传真件有效。项目招响应文件是合同的必要组成部分，与其他技术和服务承诺附件具有同等法律效力。</w:t>
      </w:r>
    </w:p>
    <w:p>
      <w:pPr>
        <w:pStyle w:val="30"/>
        <w:adjustRightInd w:val="0"/>
        <w:snapToGrid w:val="0"/>
        <w:spacing w:before="0" w:beforeAutospacing="0" w:after="0" w:afterAutospacing="0" w:line="360" w:lineRule="auto"/>
        <w:ind w:firstLine="480" w:firstLineChars="200"/>
        <w:rPr>
          <w:rFonts w:hint="default" w:cs="微软雅黑"/>
          <w:color w:val="000000" w:themeColor="text1"/>
          <w:highlight w:val="none"/>
          <w14:textFill>
            <w14:solidFill>
              <w14:schemeClr w14:val="tx1"/>
            </w14:solidFill>
          </w14:textFill>
        </w:rPr>
      </w:pPr>
      <w:r>
        <w:rPr>
          <w:rFonts w:cs="微软雅黑"/>
          <w:color w:val="000000" w:themeColor="text1"/>
          <w:highlight w:val="none"/>
          <w14:textFill>
            <w14:solidFill>
              <w14:schemeClr w14:val="tx1"/>
            </w14:solidFill>
          </w14:textFill>
        </w:rPr>
        <w:t>本合同一经双方签字、盖章即生效，合同执行期间，双方均不得随意变更或解除合同。合同未尽事宜，经双方共同协商，作出的书面补充规定，与本合同具有同等法律效力。</w:t>
      </w:r>
    </w:p>
    <w:p>
      <w:pPr>
        <w:adjustRightInd w:val="0"/>
        <w:snapToGrid w:val="0"/>
        <w:rPr>
          <w:color w:val="000000" w:themeColor="text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p>
      <w:pPr>
        <w:pStyle w:val="16"/>
        <w:adjustRightInd w:val="0"/>
        <w:snapToGrid w:val="0"/>
        <w:spacing w:after="0"/>
        <w:rPr>
          <w:color w:val="000000" w:themeColor="text1"/>
          <w:sz w:val="21"/>
          <w:szCs w:val="21"/>
          <w:highlight w:val="none"/>
          <w14:textFill>
            <w14:solidFill>
              <w14:schemeClr w14:val="tx1"/>
            </w14:solidFill>
          </w14:textFill>
        </w:rPr>
      </w:pPr>
    </w:p>
    <w:tbl>
      <w:tblPr>
        <w:tblStyle w:val="32"/>
        <w:tblpPr w:leftFromText="180" w:rightFromText="180" w:vertAnchor="text" w:horzAnchor="page" w:tblpXSpec="center" w:tblpY="34"/>
        <w:tblW w:w="5000" w:type="pct"/>
        <w:tblInd w:w="0" w:type="dxa"/>
        <w:tblLayout w:type="autofit"/>
        <w:tblCellMar>
          <w:top w:w="0" w:type="dxa"/>
          <w:left w:w="108" w:type="dxa"/>
          <w:bottom w:w="0" w:type="dxa"/>
          <w:right w:w="108" w:type="dxa"/>
        </w:tblCellMar>
      </w:tblPr>
      <w:tblGrid>
        <w:gridCol w:w="4558"/>
        <w:gridCol w:w="4559"/>
      </w:tblGrid>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甲方：湖北科技学院</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乙方：</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委托代理人：</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委托代理人：</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日  期：     年    月    日</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日  期：      年     月     日</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开户行：</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开户行：</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帐  号：</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帐  号：</w:t>
            </w:r>
          </w:p>
        </w:tc>
      </w:tr>
      <w:tr>
        <w:tblPrEx>
          <w:tblCellMar>
            <w:top w:w="0" w:type="dxa"/>
            <w:left w:w="108" w:type="dxa"/>
            <w:bottom w:w="0" w:type="dxa"/>
            <w:right w:w="108" w:type="dxa"/>
          </w:tblCellMar>
        </w:tblPrEx>
        <w:trPr>
          <w:trHeight w:val="567" w:hRule="atLeast"/>
        </w:trPr>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户  名：湖北科技学院</w:t>
            </w:r>
          </w:p>
        </w:tc>
        <w:tc>
          <w:tcPr>
            <w:tcW w:w="2500" w:type="pct"/>
            <w:vAlign w:val="center"/>
          </w:tcPr>
          <w:p>
            <w:pPr>
              <w:widowControl/>
              <w:autoSpaceDE w:val="0"/>
              <w:autoSpaceDN w:val="0"/>
              <w:adjustRightInd w:val="0"/>
              <w:snapToGrid w:val="0"/>
              <w:textAlignment w:val="bottom"/>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电  话：</w:t>
            </w:r>
          </w:p>
        </w:tc>
      </w:tr>
    </w:tbl>
    <w:p>
      <w:pPr>
        <w:rPr>
          <w:rFonts w:ascii="Calibri" w:hAnsi="Calibri" w:eastAsia="宋体" w:cs="Times New Roman"/>
          <w:color w:val="000000"/>
          <w:highlight w:val="none"/>
        </w:rPr>
      </w:pPr>
    </w:p>
    <w:bookmarkEnd w:id="122"/>
    <w:p>
      <w:pPr>
        <w:widowControl/>
        <w:jc w:val="left"/>
        <w:rPr>
          <w:rFonts w:ascii="Times New Roman" w:hAnsi="Times New Roman" w:eastAsia="黑体"/>
          <w:bCs/>
          <w:kern w:val="44"/>
          <w:sz w:val="36"/>
          <w:szCs w:val="36"/>
          <w:highlight w:val="none"/>
        </w:rPr>
      </w:pPr>
      <w:bookmarkStart w:id="123" w:name="_Toc38457860"/>
      <w:r>
        <w:rPr>
          <w:sz w:val="36"/>
          <w:szCs w:val="36"/>
          <w:highlight w:val="none"/>
        </w:rPr>
        <w:br w:type="page"/>
      </w:r>
    </w:p>
    <w:p>
      <w:pPr>
        <w:pStyle w:val="3"/>
        <w:jc w:val="center"/>
        <w:rPr>
          <w:sz w:val="36"/>
          <w:szCs w:val="36"/>
          <w:highlight w:val="none"/>
        </w:rPr>
      </w:pPr>
      <w:bookmarkStart w:id="124" w:name="_Toc65158810"/>
      <w:r>
        <w:rPr>
          <w:rFonts w:hint="eastAsia"/>
          <w:sz w:val="36"/>
          <w:szCs w:val="36"/>
          <w:highlight w:val="none"/>
        </w:rPr>
        <w:t>响应文件格式</w:t>
      </w:r>
      <w:bookmarkEnd w:id="123"/>
      <w:bookmarkEnd w:id="124"/>
    </w:p>
    <w:p>
      <w:pPr>
        <w:pStyle w:val="4"/>
        <w:numPr>
          <w:ilvl w:val="0"/>
          <w:numId w:val="0"/>
        </w:numPr>
        <w:jc w:val="left"/>
        <w:rPr>
          <w:sz w:val="32"/>
          <w:highlight w:val="none"/>
        </w:rPr>
      </w:pPr>
      <w:bookmarkStart w:id="125" w:name="_Toc65158811"/>
      <w:bookmarkStart w:id="126" w:name="_Toc38457861"/>
      <w:bookmarkStart w:id="127" w:name="_Toc494665548"/>
      <w:bookmarkStart w:id="128" w:name="_Toc494745312"/>
      <w:bookmarkStart w:id="129" w:name="_Toc494702265"/>
      <w:bookmarkStart w:id="130" w:name="_Toc494664995"/>
      <w:bookmarkStart w:id="131" w:name="_Toc494665945"/>
      <w:bookmarkStart w:id="132" w:name="_Toc511894522"/>
      <w:bookmarkStart w:id="133" w:name="_Toc494721095"/>
      <w:bookmarkStart w:id="134" w:name="_Toc2782592"/>
      <w:r>
        <w:rPr>
          <w:rFonts w:hint="eastAsia"/>
          <w:sz w:val="32"/>
          <w:highlight w:val="none"/>
        </w:rPr>
        <w:t>响应文件封面</w:t>
      </w:r>
      <w:bookmarkEnd w:id="125"/>
      <w:bookmarkEnd w:id="126"/>
    </w:p>
    <w:p>
      <w:pPr>
        <w:jc w:val="center"/>
        <w:rPr>
          <w:highlight w:val="none"/>
        </w:rPr>
      </w:pPr>
    </w:p>
    <w:p>
      <w:pPr>
        <w:jc w:val="center"/>
        <w:rPr>
          <w:highlight w:val="none"/>
        </w:rPr>
      </w:pPr>
    </w:p>
    <w:p>
      <w:pPr>
        <w:jc w:val="center"/>
        <w:rPr>
          <w:highlight w:val="none"/>
        </w:rPr>
      </w:pPr>
    </w:p>
    <w:p>
      <w:pPr>
        <w:jc w:val="center"/>
        <w:rPr>
          <w:highlight w:val="none"/>
        </w:rPr>
      </w:pPr>
    </w:p>
    <w:p>
      <w:pPr>
        <w:adjustRightInd w:val="0"/>
        <w:snapToGrid w:val="0"/>
        <w:jc w:val="center"/>
        <w:rPr>
          <w:rFonts w:ascii="黑体" w:hAnsi="黑体" w:eastAsia="黑体"/>
          <w:b/>
          <w:spacing w:val="60"/>
          <w:sz w:val="52"/>
          <w:szCs w:val="52"/>
          <w:highlight w:val="none"/>
          <w14:shadow w14:blurRad="50800" w14:dist="38100" w14:dir="2700000" w14:sx="100000" w14:sy="100000" w14:kx="0" w14:ky="0" w14:algn="tl">
            <w14:srgbClr w14:val="000000">
              <w14:alpha w14:val="60000"/>
            </w14:srgbClr>
          </w14:shadow>
        </w:rPr>
      </w:pPr>
      <w:r>
        <w:rPr>
          <w:rFonts w:hint="eastAsia" w:ascii="黑体" w:hAnsi="黑体" w:eastAsia="黑体"/>
          <w:b/>
          <w:spacing w:val="60"/>
          <w:sz w:val="52"/>
          <w:szCs w:val="52"/>
          <w:highlight w:val="none"/>
          <w14:shadow w14:blurRad="50800" w14:dist="38100" w14:dir="2700000" w14:sx="100000" w14:sy="100000" w14:kx="0" w14:ky="0" w14:algn="tl">
            <w14:srgbClr w14:val="000000">
              <w14:alpha w14:val="60000"/>
            </w14:srgbClr>
          </w14:shadow>
        </w:rPr>
        <w:t>湖北科技学院采购项目</w:t>
      </w:r>
    </w:p>
    <w:p>
      <w:pPr>
        <w:jc w:val="center"/>
        <w:rPr>
          <w:highlight w:val="none"/>
        </w:rPr>
      </w:pPr>
    </w:p>
    <w:p>
      <w:pPr>
        <w:jc w:val="center"/>
        <w:rPr>
          <w:highlight w:val="none"/>
        </w:rPr>
      </w:pPr>
    </w:p>
    <w:p>
      <w:pPr>
        <w:jc w:val="center"/>
        <w:rPr>
          <w:highlight w:val="none"/>
        </w:rPr>
      </w:pPr>
    </w:p>
    <w:p>
      <w:pPr>
        <w:adjustRightInd w:val="0"/>
        <w:snapToGrid w:val="0"/>
        <w:jc w:val="center"/>
        <w:rPr>
          <w:rFonts w:ascii="黑体" w:hAnsi="黑体" w:eastAsia="黑体"/>
          <w:b/>
          <w:sz w:val="64"/>
          <w:szCs w:val="64"/>
          <w:highlight w:val="none"/>
          <w14:shadow w14:blurRad="50800" w14:dist="38100" w14:dir="2700000" w14:sx="100000" w14:sy="100000" w14:kx="0" w14:ky="0" w14:algn="tl">
            <w14:srgbClr w14:val="000000">
              <w14:alpha w14:val="60000"/>
            </w14:srgbClr>
          </w14:shadow>
        </w:rPr>
      </w:pPr>
      <w:r>
        <w:rPr>
          <w:rFonts w:hint="eastAsia" w:ascii="黑体" w:hAnsi="黑体" w:eastAsia="黑体"/>
          <w:b/>
          <w:sz w:val="64"/>
          <w:szCs w:val="64"/>
          <w:highlight w:val="none"/>
          <w14:shadow w14:blurRad="50800" w14:dist="38100" w14:dir="2700000" w14:sx="100000" w14:sy="100000" w14:kx="0" w14:ky="0" w14:algn="tl">
            <w14:srgbClr w14:val="000000">
              <w14:alpha w14:val="60000"/>
            </w14:srgbClr>
          </w14:shadow>
        </w:rPr>
        <w:t>竞争性磋商响应文件</w:t>
      </w:r>
    </w:p>
    <w:p>
      <w:pPr>
        <w:spacing w:before="120" w:beforeLines="50" w:line="360" w:lineRule="auto"/>
        <w:jc w:val="center"/>
        <w:rPr>
          <w:rFonts w:ascii="黑体" w:hAnsi="黑体" w:eastAsia="黑体"/>
          <w:b/>
          <w:bCs/>
          <w:sz w:val="36"/>
          <w:szCs w:val="36"/>
          <w:highlight w:val="none"/>
        </w:rPr>
      </w:pPr>
      <w:r>
        <w:rPr>
          <w:rFonts w:hint="eastAsia" w:ascii="黑体" w:hAnsi="黑体" w:eastAsia="黑体"/>
          <w:b/>
          <w:bCs/>
          <w:sz w:val="36"/>
          <w:szCs w:val="36"/>
          <w:highlight w:val="none"/>
        </w:rPr>
        <w:t>（正/副本）</w:t>
      </w:r>
    </w:p>
    <w:p>
      <w:pPr>
        <w:jc w:val="center"/>
        <w:rPr>
          <w:highlight w:val="none"/>
        </w:rPr>
      </w:pPr>
    </w:p>
    <w:p>
      <w:pPr>
        <w:jc w:val="center"/>
        <w:rPr>
          <w:highlight w:val="none"/>
        </w:rPr>
      </w:pPr>
    </w:p>
    <w:tbl>
      <w:tblPr>
        <w:tblStyle w:val="32"/>
        <w:tblW w:w="0" w:type="auto"/>
        <w:jc w:val="center"/>
        <w:tblLayout w:type="fixed"/>
        <w:tblCellMar>
          <w:top w:w="0" w:type="dxa"/>
          <w:left w:w="108" w:type="dxa"/>
          <w:bottom w:w="0" w:type="dxa"/>
          <w:right w:w="108" w:type="dxa"/>
        </w:tblCellMar>
      </w:tblPr>
      <w:tblGrid>
        <w:gridCol w:w="1566"/>
        <w:gridCol w:w="5947"/>
      </w:tblGrid>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项目编号</w:t>
            </w:r>
            <w:r>
              <w:rPr>
                <w:rFonts w:hint="eastAsia" w:ascii="黑体" w:hAnsi="黑体" w:eastAsia="黑体"/>
                <w:bCs/>
                <w:color w:val="000000"/>
                <w:sz w:val="30"/>
                <w:szCs w:val="30"/>
                <w:highlight w:val="none"/>
              </w:rPr>
              <w:t>:</w:t>
            </w:r>
          </w:p>
        </w:tc>
        <w:tc>
          <w:tcPr>
            <w:tcW w:w="5947" w:type="dxa"/>
            <w:tcBorders>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p>
        </w:tc>
      </w:tr>
      <w:tr>
        <w:tblPrEx>
          <w:tblCellMar>
            <w:top w:w="0" w:type="dxa"/>
            <w:left w:w="108" w:type="dxa"/>
            <w:bottom w:w="0" w:type="dxa"/>
            <w:right w:w="108" w:type="dxa"/>
          </w:tblCellMar>
        </w:tblPrEx>
        <w:trPr>
          <w:trHeight w:val="567" w:hRule="atLeast"/>
          <w:jc w:val="center"/>
        </w:trPr>
        <w:tc>
          <w:tcPr>
            <w:tcW w:w="1566" w:type="dxa"/>
            <w:shd w:val="clear" w:color="auto" w:fill="auto"/>
            <w:vAlign w:val="bottom"/>
          </w:tcPr>
          <w:p>
            <w:pPr>
              <w:adjustRightInd w:val="0"/>
              <w:snapToGrid w:val="0"/>
              <w:jc w:val="center"/>
              <w:rPr>
                <w:rFonts w:ascii="黑体" w:hAnsi="黑体" w:eastAsia="黑体"/>
                <w:bCs/>
                <w:color w:val="000000"/>
                <w:sz w:val="30"/>
                <w:szCs w:val="30"/>
                <w:highlight w:val="none"/>
              </w:rPr>
            </w:pPr>
            <w:r>
              <w:rPr>
                <w:rFonts w:ascii="黑体" w:hAnsi="黑体" w:eastAsia="黑体"/>
                <w:bCs/>
                <w:color w:val="000000"/>
                <w:sz w:val="30"/>
                <w:szCs w:val="30"/>
                <w:highlight w:val="none"/>
              </w:rPr>
              <w:t>项目名称</w:t>
            </w:r>
            <w:r>
              <w:rPr>
                <w:rFonts w:hint="eastAsia" w:ascii="黑体" w:hAnsi="黑体" w:eastAsia="黑体"/>
                <w:bCs/>
                <w:color w:val="000000"/>
                <w:sz w:val="30"/>
                <w:szCs w:val="30"/>
                <w:highlight w:val="none"/>
              </w:rPr>
              <w:t>:</w:t>
            </w:r>
          </w:p>
        </w:tc>
        <w:tc>
          <w:tcPr>
            <w:tcW w:w="5947" w:type="dxa"/>
            <w:tcBorders>
              <w:top w:val="single" w:color="auto" w:sz="8" w:space="0"/>
              <w:bottom w:val="single" w:color="auto" w:sz="8" w:space="0"/>
            </w:tcBorders>
            <w:shd w:val="clear" w:color="auto" w:fill="auto"/>
            <w:vAlign w:val="bottom"/>
          </w:tcPr>
          <w:p>
            <w:pPr>
              <w:adjustRightInd w:val="0"/>
              <w:snapToGrid w:val="0"/>
              <w:jc w:val="center"/>
              <w:rPr>
                <w:rFonts w:ascii="黑体" w:hAnsi="黑体" w:eastAsia="黑体"/>
                <w:bCs/>
                <w:color w:val="000000"/>
                <w:sz w:val="30"/>
                <w:szCs w:val="30"/>
                <w:highlight w:val="none"/>
              </w:rPr>
            </w:pPr>
          </w:p>
        </w:tc>
      </w:tr>
    </w:tbl>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tbl>
      <w:tblPr>
        <w:tblStyle w:val="3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6"/>
        <w:gridCol w:w="5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6" w:type="dxa"/>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供 应 商:</w:t>
            </w:r>
          </w:p>
        </w:tc>
        <w:tc>
          <w:tcPr>
            <w:tcW w:w="5016" w:type="dxa"/>
            <w:tcBorders>
              <w:bottom w:val="single" w:color="auto" w:sz="4" w:space="0"/>
            </w:tcBorders>
            <w:vAlign w:val="bottom"/>
          </w:tcPr>
          <w:p>
            <w:pPr>
              <w:spacing w:line="400" w:lineRule="exact"/>
              <w:jc w:val="right"/>
              <w:rPr>
                <w:rFonts w:ascii="黑体" w:hAnsi="黑体" w:eastAsia="黑体"/>
                <w:bCs/>
                <w:sz w:val="30"/>
                <w:szCs w:val="30"/>
                <w:highlight w:val="none"/>
              </w:rPr>
            </w:pPr>
            <w:r>
              <w:rPr>
                <w:rFonts w:hint="eastAsia" w:ascii="黑体" w:hAnsi="黑体" w:eastAsia="黑体"/>
                <w:bCs/>
                <w:sz w:val="30"/>
                <w:szCs w:val="30"/>
                <w:highlight w:val="none"/>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6" w:type="dxa"/>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授权代表:</w:t>
            </w:r>
          </w:p>
        </w:tc>
        <w:tc>
          <w:tcPr>
            <w:tcW w:w="5016" w:type="dxa"/>
            <w:tcBorders>
              <w:top w:val="single" w:color="auto" w:sz="4" w:space="0"/>
              <w:bottom w:val="single" w:color="auto" w:sz="4" w:space="0"/>
            </w:tcBorders>
            <w:vAlign w:val="bottom"/>
          </w:tcPr>
          <w:p>
            <w:pPr>
              <w:spacing w:line="400" w:lineRule="exact"/>
              <w:jc w:val="right"/>
              <w:rPr>
                <w:rFonts w:ascii="黑体" w:hAnsi="黑体" w:eastAsia="黑体"/>
                <w:bCs/>
                <w:sz w:val="30"/>
                <w:szCs w:val="30"/>
                <w:highlight w:val="none"/>
              </w:rPr>
            </w:pPr>
            <w:r>
              <w:rPr>
                <w:rFonts w:hint="eastAsia" w:ascii="黑体" w:hAnsi="黑体" w:eastAsia="黑体"/>
                <w:bCs/>
                <w:sz w:val="30"/>
                <w:szCs w:val="30"/>
                <w:highlight w:val="none"/>
              </w:rPr>
              <w:t>（签字）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66" w:type="dxa"/>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日　　期:</w:t>
            </w:r>
          </w:p>
        </w:tc>
        <w:tc>
          <w:tcPr>
            <w:tcW w:w="5016" w:type="dxa"/>
            <w:tcBorders>
              <w:top w:val="single" w:color="auto" w:sz="4" w:space="0"/>
              <w:bottom w:val="single" w:color="auto" w:sz="4" w:space="0"/>
            </w:tcBorders>
            <w:vAlign w:val="bottom"/>
          </w:tcPr>
          <w:p>
            <w:pPr>
              <w:spacing w:line="400" w:lineRule="exact"/>
              <w:jc w:val="center"/>
              <w:rPr>
                <w:rFonts w:ascii="黑体" w:hAnsi="黑体" w:eastAsia="黑体"/>
                <w:bCs/>
                <w:sz w:val="30"/>
                <w:szCs w:val="30"/>
                <w:highlight w:val="none"/>
              </w:rPr>
            </w:pPr>
            <w:r>
              <w:rPr>
                <w:rFonts w:hint="eastAsia" w:ascii="黑体" w:hAnsi="黑体" w:eastAsia="黑体"/>
                <w:bCs/>
                <w:sz w:val="30"/>
                <w:szCs w:val="30"/>
                <w:highlight w:val="none"/>
              </w:rPr>
              <w:t>年　月　日</w:t>
            </w:r>
          </w:p>
        </w:tc>
      </w:tr>
    </w:tbl>
    <w:p>
      <w:pPr>
        <w:jc w:val="center"/>
        <w:rPr>
          <w:highlight w:val="none"/>
        </w:rPr>
      </w:pPr>
    </w:p>
    <w:bookmarkEnd w:id="127"/>
    <w:bookmarkEnd w:id="128"/>
    <w:bookmarkEnd w:id="129"/>
    <w:bookmarkEnd w:id="130"/>
    <w:bookmarkEnd w:id="131"/>
    <w:bookmarkEnd w:id="132"/>
    <w:bookmarkEnd w:id="133"/>
    <w:bookmarkEnd w:id="134"/>
    <w:p>
      <w:pPr>
        <w:pStyle w:val="4"/>
        <w:jc w:val="center"/>
        <w:rPr>
          <w:sz w:val="36"/>
          <w:szCs w:val="36"/>
          <w:highlight w:val="none"/>
        </w:rPr>
      </w:pPr>
      <w:bookmarkStart w:id="135" w:name="_Toc65158812"/>
      <w:bookmarkStart w:id="136" w:name="_Toc27731286"/>
      <w:bookmarkStart w:id="137" w:name="_Toc476824497"/>
      <w:bookmarkStart w:id="138" w:name="_Toc24804"/>
      <w:bookmarkStart w:id="139" w:name="_Toc26947384"/>
      <w:bookmarkStart w:id="140" w:name="_Toc434831562"/>
      <w:r>
        <w:rPr>
          <w:rFonts w:hint="eastAsia"/>
          <w:sz w:val="36"/>
          <w:szCs w:val="36"/>
          <w:highlight w:val="none"/>
        </w:rPr>
        <w:t>磋商</w:t>
      </w:r>
      <w:r>
        <w:rPr>
          <w:sz w:val="36"/>
          <w:szCs w:val="36"/>
          <w:highlight w:val="none"/>
        </w:rPr>
        <w:t>函</w:t>
      </w:r>
      <w:bookmarkEnd w:id="135"/>
      <w:bookmarkEnd w:id="136"/>
      <w:bookmarkEnd w:id="137"/>
      <w:bookmarkEnd w:id="138"/>
      <w:bookmarkEnd w:id="139"/>
      <w:bookmarkEnd w:id="140"/>
    </w:p>
    <w:p>
      <w:pPr>
        <w:spacing w:line="360" w:lineRule="auto"/>
        <w:rPr>
          <w:rFonts w:ascii="宋体" w:hAnsi="宋体"/>
          <w:color w:val="000000"/>
          <w:sz w:val="24"/>
          <w:szCs w:val="24"/>
          <w:highlight w:val="none"/>
        </w:rPr>
      </w:pPr>
      <w:r>
        <w:rPr>
          <w:rFonts w:ascii="宋体" w:hAnsi="宋体"/>
          <w:color w:val="000000"/>
          <w:sz w:val="24"/>
          <w:szCs w:val="24"/>
          <w:highlight w:val="none"/>
          <w:u w:val="single"/>
        </w:rPr>
        <w:t>　　　　　　　　　　　　</w:t>
      </w:r>
      <w:r>
        <w:rPr>
          <w:rFonts w:ascii="宋体" w:hAnsi="宋体"/>
          <w:color w:val="000000"/>
          <w:sz w:val="24"/>
          <w:szCs w:val="24"/>
          <w:highlight w:val="none"/>
        </w:rPr>
        <w:t>（</w:t>
      </w:r>
      <w:r>
        <w:rPr>
          <w:rFonts w:hint="eastAsia" w:ascii="宋体" w:hAnsi="宋体"/>
          <w:color w:val="000000"/>
          <w:sz w:val="24"/>
          <w:szCs w:val="24"/>
          <w:highlight w:val="none"/>
        </w:rPr>
        <w:t>采购人</w:t>
      </w:r>
      <w:r>
        <w:rPr>
          <w:rFonts w:ascii="宋体" w:hAnsi="宋体"/>
          <w:color w:val="000000"/>
          <w:sz w:val="24"/>
          <w:szCs w:val="24"/>
          <w:highlight w:val="none"/>
        </w:rPr>
        <w:t>名称）：</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我方已仔细研究了</w:t>
      </w:r>
      <w:r>
        <w:rPr>
          <w:rFonts w:ascii="宋体" w:hAnsi="宋体"/>
          <w:color w:val="000000" w:themeColor="text1"/>
          <w:sz w:val="24"/>
          <w:szCs w:val="24"/>
          <w:highlight w:val="none"/>
          <w:u w:val="single"/>
          <w14:textFill>
            <w14:solidFill>
              <w14:schemeClr w14:val="tx1"/>
            </w14:solidFill>
          </w14:textFill>
        </w:rPr>
        <w:t>（项目名称、项目编号、项目包号）</w:t>
      </w:r>
      <w:r>
        <w:rPr>
          <w:rFonts w:hint="eastAsia" w:ascii="宋体" w:hAnsi="宋体"/>
          <w:color w:val="000000" w:themeColor="text1"/>
          <w:sz w:val="24"/>
          <w:szCs w:val="24"/>
          <w:highlight w:val="none"/>
          <w14:textFill>
            <w14:solidFill>
              <w14:schemeClr w14:val="tx1"/>
            </w14:solidFill>
          </w14:textFill>
        </w:rPr>
        <w:t>竞争性磋商</w:t>
      </w:r>
      <w:r>
        <w:rPr>
          <w:rFonts w:ascii="宋体" w:hAnsi="宋体"/>
          <w:color w:val="000000" w:themeColor="text1"/>
          <w:sz w:val="24"/>
          <w:szCs w:val="24"/>
          <w:highlight w:val="none"/>
          <w14:textFill>
            <w14:solidFill>
              <w14:schemeClr w14:val="tx1"/>
            </w14:solidFill>
          </w14:textFill>
        </w:rPr>
        <w:t>文件的全部内容（含澄清修改文件，如有），在考察项目实际需求</w:t>
      </w:r>
      <w:r>
        <w:rPr>
          <w:rFonts w:hint="eastAsia" w:ascii="宋体" w:hAnsi="宋体"/>
          <w:color w:val="000000" w:themeColor="text1"/>
          <w:sz w:val="24"/>
          <w:szCs w:val="24"/>
          <w:highlight w:val="none"/>
          <w14:textFill>
            <w14:solidFill>
              <w14:schemeClr w14:val="tx1"/>
            </w14:solidFill>
          </w14:textFill>
        </w:rPr>
        <w:t>及相关</w:t>
      </w:r>
      <w:r>
        <w:rPr>
          <w:rFonts w:ascii="宋体" w:hAnsi="宋体"/>
          <w:color w:val="000000" w:themeColor="text1"/>
          <w:sz w:val="24"/>
          <w:szCs w:val="24"/>
          <w:highlight w:val="none"/>
          <w14:textFill>
            <w14:solidFill>
              <w14:schemeClr w14:val="tx1"/>
            </w14:solidFill>
          </w14:textFill>
        </w:rPr>
        <w:t>情况后，愿意以人民币（大写）</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元（¥</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）的</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总报价（或根据</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文件规定修正核实后确定的另一金额），</w:t>
      </w:r>
      <w:r>
        <w:rPr>
          <w:rFonts w:hint="eastAsia" w:ascii="宋体" w:hAnsi="宋体"/>
          <w:sz w:val="24"/>
          <w:szCs w:val="24"/>
          <w:highlight w:val="none"/>
        </w:rPr>
        <w:t>合同履行期限</w:t>
      </w:r>
      <w:r>
        <w:rPr>
          <w:rFonts w:hint="eastAsia" w:ascii="宋体" w:hAnsi="宋体" w:cs="Times New Roman"/>
          <w:color w:val="000000" w:themeColor="text1"/>
          <w:sz w:val="24"/>
          <w:szCs w:val="24"/>
          <w:highlight w:val="none"/>
          <w14:textFill>
            <w14:solidFill>
              <w14:schemeClr w14:val="tx1"/>
            </w14:solidFill>
          </w14:textFill>
        </w:rPr>
        <w:t>为</w:t>
      </w:r>
      <w:r>
        <w:rPr>
          <w:rFonts w:ascii="宋体" w:hAnsi="宋体"/>
          <w:color w:val="000000" w:themeColor="text1"/>
          <w:sz w:val="24"/>
          <w:szCs w:val="24"/>
          <w:highlight w:val="none"/>
          <w:u w:val="single"/>
          <w14:textFill>
            <w14:solidFill>
              <w14:schemeClr w14:val="tx1"/>
            </w14:solidFill>
          </w14:textFill>
        </w:rPr>
        <w:t>　　</w:t>
      </w:r>
      <w:r>
        <w:rPr>
          <w:rFonts w:hint="eastAsia" w:ascii="宋体" w:hAnsi="宋体" w:cs="Times New Roman"/>
          <w:color w:val="000000" w:themeColor="text1"/>
          <w:sz w:val="24"/>
          <w:szCs w:val="24"/>
          <w:highlight w:val="none"/>
          <w14:textFill>
            <w14:solidFill>
              <w14:schemeClr w14:val="tx1"/>
            </w14:solidFill>
          </w14:textFill>
        </w:rPr>
        <w:t>日历天，并</w:t>
      </w:r>
      <w:r>
        <w:rPr>
          <w:rFonts w:hint="eastAsia" w:ascii="宋体" w:hAnsi="宋体"/>
          <w:color w:val="000000" w:themeColor="text1"/>
          <w:sz w:val="24"/>
          <w:szCs w:val="24"/>
          <w:highlight w:val="none"/>
          <w14:textFill>
            <w14:solidFill>
              <w14:schemeClr w14:val="tx1"/>
            </w14:solidFill>
          </w14:textFill>
        </w:rPr>
        <w:t>遵照磋商文件要求</w:t>
      </w:r>
      <w:r>
        <w:rPr>
          <w:rFonts w:ascii="宋体" w:hAnsi="宋体"/>
          <w:color w:val="000000" w:themeColor="text1"/>
          <w:sz w:val="24"/>
          <w:szCs w:val="24"/>
          <w:highlight w:val="none"/>
          <w14:textFill>
            <w14:solidFill>
              <w14:schemeClr w14:val="tx1"/>
            </w14:solidFill>
          </w14:textFill>
        </w:rPr>
        <w:t>实施和完成</w:t>
      </w:r>
      <w:r>
        <w:rPr>
          <w:rFonts w:hint="eastAsia" w:ascii="宋体" w:hAnsi="宋体"/>
          <w:color w:val="000000" w:themeColor="text1"/>
          <w:sz w:val="24"/>
          <w:szCs w:val="24"/>
          <w:highlight w:val="none"/>
          <w14:textFill>
            <w14:solidFill>
              <w14:schemeClr w14:val="tx1"/>
            </w14:solidFill>
          </w14:textFill>
        </w:rPr>
        <w:t>项目</w:t>
      </w:r>
      <w:r>
        <w:rPr>
          <w:rFonts w:ascii="宋体" w:hAnsi="宋体"/>
          <w:color w:val="000000" w:themeColor="text1"/>
          <w:sz w:val="24"/>
          <w:szCs w:val="24"/>
          <w:highlight w:val="none"/>
          <w14:textFill>
            <w14:solidFill>
              <w14:schemeClr w14:val="tx1"/>
            </w14:solidFill>
          </w14:textFill>
        </w:rPr>
        <w:t>。</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我方承诺在</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有效期内不修改、撤销</w:t>
      </w:r>
      <w:r>
        <w:rPr>
          <w:rFonts w:hint="eastAsia" w:ascii="宋体" w:hAnsi="宋体"/>
          <w:color w:val="000000" w:themeColor="text1"/>
          <w:sz w:val="24"/>
          <w:szCs w:val="24"/>
          <w:highlight w:val="none"/>
          <w14:textFill>
            <w14:solidFill>
              <w14:schemeClr w14:val="tx1"/>
            </w14:solidFill>
          </w14:textFill>
        </w:rPr>
        <w:t>磋商响应</w:t>
      </w:r>
      <w:r>
        <w:rPr>
          <w:rFonts w:ascii="宋体" w:hAnsi="宋体"/>
          <w:color w:val="000000" w:themeColor="text1"/>
          <w:sz w:val="24"/>
          <w:szCs w:val="24"/>
          <w:highlight w:val="none"/>
          <w14:textFill>
            <w14:solidFill>
              <w14:schemeClr w14:val="tx1"/>
            </w14:solidFill>
          </w14:textFill>
        </w:rPr>
        <w:t>文件。</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14:textFill>
            <w14:solidFill>
              <w14:schemeClr w14:val="tx1"/>
            </w14:solidFill>
          </w14:textFill>
        </w:rPr>
        <w:t>、如若</w:t>
      </w:r>
      <w:r>
        <w:rPr>
          <w:rFonts w:ascii="宋体" w:hAnsi="宋体"/>
          <w:color w:val="000000" w:themeColor="text1"/>
          <w:sz w:val="24"/>
          <w:szCs w:val="24"/>
          <w:highlight w:val="none"/>
          <w14:textFill>
            <w14:solidFill>
              <w14:schemeClr w14:val="tx1"/>
            </w14:solidFill>
          </w14:textFill>
        </w:rPr>
        <w:t>我方成交：</w:t>
      </w:r>
    </w:p>
    <w:p>
      <w:pPr>
        <w:spacing w:line="360" w:lineRule="auto"/>
        <w:ind w:left="1095" w:leftChars="350" w:hanging="360" w:hangingChars="15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1）我方承诺在收到成交通知书后，在成交通知书规定的期限内与你方签订</w:t>
      </w:r>
      <w:r>
        <w:rPr>
          <w:rFonts w:hint="eastAsia" w:ascii="宋体" w:hAnsi="宋体"/>
          <w:color w:val="000000" w:themeColor="text1"/>
          <w:sz w:val="24"/>
          <w:szCs w:val="24"/>
          <w:highlight w:val="none"/>
          <w14:textFill>
            <w14:solidFill>
              <w14:schemeClr w14:val="tx1"/>
            </w14:solidFill>
          </w14:textFill>
        </w:rPr>
        <w:t>采购</w:t>
      </w:r>
      <w:r>
        <w:rPr>
          <w:rFonts w:ascii="宋体" w:hAnsi="宋体"/>
          <w:color w:val="000000" w:themeColor="text1"/>
          <w:sz w:val="24"/>
          <w:szCs w:val="24"/>
          <w:highlight w:val="none"/>
          <w14:textFill>
            <w14:solidFill>
              <w14:schemeClr w14:val="tx1"/>
            </w14:solidFill>
          </w14:textFill>
        </w:rPr>
        <w:t>合同。</w:t>
      </w:r>
    </w:p>
    <w:p>
      <w:pPr>
        <w:spacing w:line="360" w:lineRule="auto"/>
        <w:ind w:left="1095" w:leftChars="350" w:hanging="360" w:hangingChars="15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2）我方承诺在</w:t>
      </w:r>
      <w:r>
        <w:rPr>
          <w:rFonts w:hint="eastAsia" w:ascii="宋体" w:hAnsi="宋体"/>
          <w:color w:val="000000" w:themeColor="text1"/>
          <w:sz w:val="24"/>
          <w:szCs w:val="24"/>
          <w:highlight w:val="none"/>
          <w14:textFill>
            <w14:solidFill>
              <w14:schemeClr w14:val="tx1"/>
            </w14:solidFill>
          </w14:textFill>
        </w:rPr>
        <w:t>采购</w:t>
      </w:r>
      <w:r>
        <w:rPr>
          <w:rFonts w:ascii="宋体" w:hAnsi="宋体"/>
          <w:color w:val="000000" w:themeColor="text1"/>
          <w:sz w:val="24"/>
          <w:szCs w:val="24"/>
          <w:highlight w:val="none"/>
          <w14:textFill>
            <w14:solidFill>
              <w14:schemeClr w14:val="tx1"/>
            </w14:solidFill>
          </w14:textFill>
        </w:rPr>
        <w:t>合同约定的</w:t>
      </w:r>
      <w:r>
        <w:rPr>
          <w:rFonts w:hint="eastAsia" w:ascii="宋体" w:hAnsi="宋体"/>
          <w:color w:val="000000" w:themeColor="text1"/>
          <w:sz w:val="24"/>
          <w:szCs w:val="24"/>
          <w:highlight w:val="none"/>
          <w14:textFill>
            <w14:solidFill>
              <w14:schemeClr w14:val="tx1"/>
            </w14:solidFill>
          </w14:textFill>
        </w:rPr>
        <w:t>服务期</w:t>
      </w:r>
      <w:r>
        <w:rPr>
          <w:rFonts w:ascii="宋体" w:hAnsi="宋体" w:cs="Times New Roman"/>
          <w:color w:val="000000" w:themeColor="text1"/>
          <w:sz w:val="24"/>
          <w:szCs w:val="24"/>
          <w:highlight w:val="none"/>
          <w14:textFill>
            <w14:solidFill>
              <w14:schemeClr w14:val="tx1"/>
            </w14:solidFill>
          </w14:textFill>
        </w:rPr>
        <w:t>内完成</w:t>
      </w:r>
      <w:r>
        <w:rPr>
          <w:rFonts w:hint="eastAsia" w:ascii="宋体" w:hAnsi="宋体" w:cs="Times New Roman"/>
          <w:color w:val="000000" w:themeColor="text1"/>
          <w:sz w:val="24"/>
          <w:szCs w:val="24"/>
          <w:highlight w:val="none"/>
          <w14:textFill>
            <w14:solidFill>
              <w14:schemeClr w14:val="tx1"/>
            </w14:solidFill>
          </w14:textFill>
        </w:rPr>
        <w:t>所有工作内容</w:t>
      </w:r>
      <w:r>
        <w:rPr>
          <w:rFonts w:ascii="宋体" w:hAnsi="宋体"/>
          <w:color w:val="000000" w:themeColor="text1"/>
          <w:sz w:val="24"/>
          <w:szCs w:val="24"/>
          <w:highlight w:val="none"/>
          <w14:textFill>
            <w14:solidFill>
              <w14:schemeClr w14:val="tx1"/>
            </w14:solidFill>
          </w14:textFill>
        </w:rPr>
        <w:t>。</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我方在此声明，所递交的</w:t>
      </w:r>
      <w:r>
        <w:rPr>
          <w:rFonts w:hint="eastAsia" w:ascii="宋体" w:hAnsi="宋体"/>
          <w:color w:val="000000" w:themeColor="text1"/>
          <w:sz w:val="24"/>
          <w:szCs w:val="24"/>
          <w:highlight w:val="none"/>
          <w14:textFill>
            <w14:solidFill>
              <w14:schemeClr w14:val="tx1"/>
            </w14:solidFill>
          </w14:textFill>
        </w:rPr>
        <w:t>磋商响应</w:t>
      </w:r>
      <w:r>
        <w:rPr>
          <w:rFonts w:ascii="宋体" w:hAnsi="宋体"/>
          <w:color w:val="000000" w:themeColor="text1"/>
          <w:sz w:val="24"/>
          <w:szCs w:val="24"/>
          <w:highlight w:val="none"/>
          <w14:textFill>
            <w14:solidFill>
              <w14:schemeClr w14:val="tx1"/>
            </w14:solidFill>
          </w14:textFill>
        </w:rPr>
        <w:t>文件及有关资料内容完整、真实和准确。</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、我方响应的磋商有效期为从竞争性磋商响应文件递交截止时间起</w:t>
      </w:r>
      <w:r>
        <w:rPr>
          <w:rFonts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个日历天。</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在合同协议书正式签署生效之前，本</w:t>
      </w:r>
      <w:r>
        <w:rPr>
          <w:rFonts w:hint="eastAsia" w:ascii="宋体" w:hAnsi="宋体"/>
          <w:color w:val="000000" w:themeColor="text1"/>
          <w:sz w:val="24"/>
          <w:szCs w:val="24"/>
          <w:highlight w:val="none"/>
          <w14:textFill>
            <w14:solidFill>
              <w14:schemeClr w14:val="tx1"/>
            </w14:solidFill>
          </w14:textFill>
        </w:rPr>
        <w:t>磋商</w:t>
      </w:r>
      <w:r>
        <w:rPr>
          <w:rFonts w:ascii="宋体" w:hAnsi="宋体"/>
          <w:color w:val="000000" w:themeColor="text1"/>
          <w:sz w:val="24"/>
          <w:szCs w:val="24"/>
          <w:highlight w:val="none"/>
          <w14:textFill>
            <w14:solidFill>
              <w14:schemeClr w14:val="tx1"/>
            </w14:solidFill>
          </w14:textFill>
        </w:rPr>
        <w:t>函连同你方的成交通知书将构成我们双方之间共同遵守的文件，对双方具有约束力。</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7</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我方理解，你方不一定接受最低报价的磋商或你方接到的其他任何磋商。同时也理解，你方不负担我方的任何磋商费用。</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8</w:t>
      </w:r>
      <w:r>
        <w:rPr>
          <w:rFonts w:hint="eastAsia"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（其他补充说明）。</w:t>
      </w:r>
    </w:p>
    <w:p>
      <w:pPr>
        <w:rPr>
          <w:color w:val="000000" w:themeColor="text1"/>
          <w:highlight w:val="none"/>
          <w14:textFill>
            <w14:solidFill>
              <w14:schemeClr w14:val="tx1"/>
            </w14:solidFill>
          </w14:textFill>
        </w:rPr>
      </w:pP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w:t>
      </w:r>
      <w:r>
        <w:rPr>
          <w:rFonts w:ascii="宋体" w:hAnsi="宋体"/>
          <w:color w:val="000000" w:themeColor="text1"/>
          <w:sz w:val="24"/>
          <w:szCs w:val="24"/>
          <w:highlight w:val="none"/>
          <w14:textFill>
            <w14:solidFill>
              <w14:schemeClr w14:val="tx1"/>
            </w14:solidFill>
          </w14:textFill>
        </w:rPr>
        <w:t>：</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（盖章）</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法定代表人或其委托代理人：</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（签字）</w:t>
      </w:r>
    </w:p>
    <w:p>
      <w:pPr>
        <w:spacing w:line="360" w:lineRule="auto"/>
        <w:ind w:firstLine="480" w:firstLineChars="200"/>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地址：</w:t>
      </w:r>
      <w:r>
        <w:rPr>
          <w:rFonts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rPr>
          <w:rFonts w:ascii="宋体" w:hAnsi="宋体"/>
          <w:color w:val="000000" w:themeColor="text1"/>
          <w:sz w:val="24"/>
          <w:szCs w:val="24"/>
          <w:highlight w:val="none"/>
          <w:u w:val="singl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电话：</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　传真：</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　邮政编码：</w:t>
      </w:r>
      <w:r>
        <w:rPr>
          <w:rFonts w:ascii="宋体" w:hAnsi="宋体"/>
          <w:color w:val="000000" w:themeColor="text1"/>
          <w:sz w:val="24"/>
          <w:szCs w:val="24"/>
          <w:highlight w:val="none"/>
          <w:u w:val="single"/>
          <w14:textFill>
            <w14:solidFill>
              <w14:schemeClr w14:val="tx1"/>
            </w14:solidFill>
          </w14:textFill>
        </w:rPr>
        <w:t>　　　　　</w:t>
      </w:r>
    </w:p>
    <w:p>
      <w:pPr>
        <w:rPr>
          <w:color w:val="000000" w:themeColor="text1"/>
          <w:highlight w:val="none"/>
          <w14:textFill>
            <w14:solidFill>
              <w14:schemeClr w14:val="tx1"/>
            </w14:solidFill>
          </w14:textFill>
        </w:rPr>
      </w:pPr>
    </w:p>
    <w:p>
      <w:pPr>
        <w:spacing w:line="360" w:lineRule="auto"/>
        <w:jc w:val="right"/>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年</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月</w:t>
      </w:r>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日</w:t>
      </w:r>
    </w:p>
    <w:p>
      <w:pPr>
        <w:spacing w:line="360" w:lineRule="auto"/>
        <w:ind w:firstLine="422" w:firstLineChars="200"/>
        <w:jc w:val="center"/>
        <w:rPr>
          <w:rFonts w:ascii="宋体" w:hAnsi="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br w:type="page"/>
      </w:r>
    </w:p>
    <w:p>
      <w:pPr>
        <w:pStyle w:val="4"/>
        <w:jc w:val="center"/>
        <w:rPr>
          <w:sz w:val="36"/>
          <w:szCs w:val="36"/>
          <w:highlight w:val="none"/>
        </w:rPr>
      </w:pPr>
      <w:bookmarkStart w:id="141" w:name="_Toc26947385"/>
      <w:bookmarkStart w:id="142" w:name="_Toc27731287"/>
      <w:bookmarkStart w:id="143" w:name="_Toc65158813"/>
      <w:bookmarkStart w:id="144" w:name="_Toc434831563"/>
      <w:r>
        <w:rPr>
          <w:rFonts w:hint="eastAsia"/>
          <w:sz w:val="36"/>
          <w:szCs w:val="36"/>
          <w:highlight w:val="none"/>
        </w:rPr>
        <w:t>报价</w:t>
      </w:r>
      <w:r>
        <w:rPr>
          <w:sz w:val="36"/>
          <w:szCs w:val="36"/>
          <w:highlight w:val="none"/>
        </w:rPr>
        <w:t>一览表</w:t>
      </w:r>
      <w:bookmarkEnd w:id="141"/>
      <w:bookmarkEnd w:id="142"/>
      <w:bookmarkEnd w:id="143"/>
    </w:p>
    <w:p>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adjustRightInd w:val="0"/>
        <w:snapToGrid w:val="0"/>
        <w:spacing w:line="360" w:lineRule="auto"/>
        <w:rPr>
          <w:rFonts w:ascii="宋体" w:hAnsi="宋体" w:eastAsia="宋体" w:cs="Times New Roman"/>
          <w:color w:val="000000" w:themeColor="text1"/>
          <w:sz w:val="24"/>
          <w:szCs w:val="21"/>
          <w:highlight w:val="none"/>
          <w14:textFill>
            <w14:solidFill>
              <w14:schemeClr w14:val="tx1"/>
            </w14:solidFill>
          </w14:textFill>
        </w:rPr>
      </w:pPr>
      <w:r>
        <w:rPr>
          <w:rFonts w:hint="eastAsia" w:ascii="宋体" w:hAnsi="宋体" w:eastAsia="宋体" w:cs="Times New Roman"/>
          <w:color w:val="000000" w:themeColor="text1"/>
          <w:sz w:val="24"/>
          <w:szCs w:val="21"/>
          <w:highlight w:val="none"/>
          <w14:textFill>
            <w14:solidFill>
              <w14:schemeClr w14:val="tx1"/>
            </w14:solidFill>
          </w14:textFill>
        </w:rPr>
        <w:t>项目编号：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w:t>
      </w:r>
      <w:r>
        <w:rPr>
          <w:rFonts w:hint="eastAsia" w:ascii="宋体" w:hAnsi="宋体" w:eastAsia="宋体" w:cs="Times New Roman"/>
          <w:color w:val="000000" w:themeColor="text1"/>
          <w:sz w:val="24"/>
          <w:szCs w:val="21"/>
          <w:highlight w:val="none"/>
          <w14:textFill>
            <w14:solidFill>
              <w14:schemeClr w14:val="tx1"/>
            </w14:solidFill>
          </w14:textFill>
        </w:rPr>
        <w:t>项目包号：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p>
    <w:tbl>
      <w:tblPr>
        <w:tblStyle w:val="32"/>
        <w:tblW w:w="8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126"/>
        <w:gridCol w:w="5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shd w:val="clear" w:color="auto" w:fill="BEBEBE" w:themeFill="background1" w:themeFillShade="BF"/>
            <w:vAlign w:val="center"/>
          </w:tcPr>
          <w:p>
            <w:pPr>
              <w:jc w:val="center"/>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序号</w:t>
            </w:r>
          </w:p>
        </w:tc>
        <w:tc>
          <w:tcPr>
            <w:tcW w:w="2126" w:type="dxa"/>
            <w:shd w:val="clear" w:color="auto" w:fill="BEBEBE" w:themeFill="background1" w:themeFillShade="BF"/>
            <w:vAlign w:val="center"/>
          </w:tcPr>
          <w:p>
            <w:pPr>
              <w:jc w:val="center"/>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名目</w:t>
            </w:r>
          </w:p>
        </w:tc>
        <w:tc>
          <w:tcPr>
            <w:tcW w:w="5775" w:type="dxa"/>
            <w:shd w:val="clear" w:color="auto" w:fill="BEBEBE" w:themeFill="background1" w:themeFillShade="BF"/>
            <w:vAlign w:val="center"/>
          </w:tcPr>
          <w:p>
            <w:pPr>
              <w:jc w:val="center"/>
              <w:rPr>
                <w:rFonts w:ascii="宋体" w:hAnsi="宋体" w:eastAsia="宋体"/>
                <w:b/>
                <w:color w:val="000000" w:themeColor="text1"/>
                <w:sz w:val="24"/>
                <w:szCs w:val="24"/>
                <w:highlight w:val="none"/>
                <w14:textFill>
                  <w14:solidFill>
                    <w14:schemeClr w14:val="tx1"/>
                  </w14:solidFill>
                </w14:textFill>
              </w:rPr>
            </w:pPr>
            <w:r>
              <w:rPr>
                <w:rFonts w:hint="eastAsia" w:ascii="宋体" w:hAnsi="宋体" w:eastAsia="宋体"/>
                <w:b/>
                <w:color w:val="000000" w:themeColor="text1"/>
                <w:sz w:val="24"/>
                <w:szCs w:val="24"/>
                <w:highlight w:val="none"/>
                <w14:textFill>
                  <w14:solidFill>
                    <w14:schemeClr w14:val="tx1"/>
                  </w14:solidFill>
                </w14:textFill>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w:t>
            </w:r>
          </w:p>
        </w:tc>
        <w:tc>
          <w:tcPr>
            <w:tcW w:w="2126"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供应商</w:t>
            </w:r>
          </w:p>
        </w:tc>
        <w:tc>
          <w:tcPr>
            <w:tcW w:w="5775" w:type="dxa"/>
            <w:vAlign w:val="center"/>
          </w:tcPr>
          <w:p>
            <w:pPr>
              <w:jc w:val="center"/>
              <w:rPr>
                <w:rFonts w:ascii="宋体" w:hAnsi="宋体" w:eastAsia="宋体"/>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2</w:t>
            </w:r>
          </w:p>
        </w:tc>
        <w:tc>
          <w:tcPr>
            <w:tcW w:w="2126" w:type="dxa"/>
            <w:vAlign w:val="center"/>
          </w:tcPr>
          <w:p>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sz w:val="24"/>
                <w:szCs w:val="24"/>
                <w:highlight w:val="none"/>
              </w:rPr>
              <w:t>磋商总报价</w:t>
            </w:r>
          </w:p>
        </w:tc>
        <w:tc>
          <w:tcPr>
            <w:tcW w:w="5775" w:type="dxa"/>
            <w:vAlign w:val="center"/>
          </w:tcPr>
          <w:p>
            <w:pPr>
              <w:widowControl/>
              <w:spacing w:line="360" w:lineRule="auto"/>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人民币小写：</w:t>
            </w:r>
          </w:p>
          <w:p>
            <w:pPr>
              <w:widowControl/>
              <w:jc w:val="left"/>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kern w:val="0"/>
                <w:sz w:val="24"/>
                <w:szCs w:val="24"/>
                <w:highlight w:val="none"/>
              </w:rPr>
              <w:t>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w:t>
            </w:r>
          </w:p>
        </w:tc>
        <w:tc>
          <w:tcPr>
            <w:tcW w:w="2126" w:type="dxa"/>
            <w:vAlign w:val="center"/>
          </w:tcPr>
          <w:p>
            <w:pPr>
              <w:widowControl/>
              <w:jc w:val="center"/>
              <w:rPr>
                <w:sz w:val="24"/>
                <w:szCs w:val="24"/>
                <w:highlight w:val="none"/>
              </w:rPr>
            </w:pPr>
            <w:r>
              <w:rPr>
                <w:rFonts w:hint="eastAsia"/>
                <w:sz w:val="24"/>
                <w:szCs w:val="24"/>
                <w:highlight w:val="none"/>
              </w:rPr>
              <w:t>合同履行期限</w:t>
            </w:r>
          </w:p>
        </w:tc>
        <w:tc>
          <w:tcPr>
            <w:tcW w:w="5775" w:type="dxa"/>
            <w:vAlign w:val="center"/>
          </w:tcPr>
          <w:p>
            <w:pPr>
              <w:widowControl/>
              <w:spacing w:line="360" w:lineRule="auto"/>
              <w:jc w:val="center"/>
              <w:rPr>
                <w:sz w:val="24"/>
                <w:szCs w:val="24"/>
                <w:highlight w:val="none"/>
              </w:rPr>
            </w:pPr>
            <w:r>
              <w:rPr>
                <w:rFonts w:hint="eastAsia" w:ascii="宋体" w:hAnsi="宋体" w:cs="宋体"/>
                <w:color w:val="000000"/>
                <w:kern w:val="0"/>
                <w:sz w:val="24"/>
                <w:szCs w:val="24"/>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89"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4</w:t>
            </w:r>
          </w:p>
        </w:tc>
        <w:tc>
          <w:tcPr>
            <w:tcW w:w="2126" w:type="dxa"/>
            <w:vAlign w:val="center"/>
          </w:tcPr>
          <w:p>
            <w:pPr>
              <w:jc w:val="center"/>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其他</w:t>
            </w:r>
          </w:p>
        </w:tc>
        <w:tc>
          <w:tcPr>
            <w:tcW w:w="5775" w:type="dxa"/>
            <w:vAlign w:val="center"/>
          </w:tcPr>
          <w:p>
            <w:pPr>
              <w:jc w:val="center"/>
              <w:rPr>
                <w:rFonts w:ascii="宋体" w:hAnsi="宋体" w:eastAsia="宋体"/>
                <w:color w:val="000000" w:themeColor="text1"/>
                <w:sz w:val="24"/>
                <w:szCs w:val="24"/>
                <w:highlight w:val="none"/>
                <w14:textFill>
                  <w14:solidFill>
                    <w14:schemeClr w14:val="tx1"/>
                  </w14:solidFill>
                </w14:textFill>
              </w:rPr>
            </w:pPr>
          </w:p>
        </w:tc>
      </w:tr>
    </w:tbl>
    <w:p>
      <w:pPr>
        <w:spacing w:line="360" w:lineRule="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注：1.</w:t>
      </w:r>
      <w:r>
        <w:rPr>
          <w:rFonts w:ascii="宋体" w:hAnsi="宋体" w:eastAsia="宋体"/>
          <w:color w:val="000000" w:themeColor="text1"/>
          <w:sz w:val="24"/>
          <w:szCs w:val="24"/>
          <w:highlight w:val="none"/>
          <w14:textFill>
            <w14:solidFill>
              <w14:schemeClr w14:val="tx1"/>
            </w14:solidFill>
          </w14:textFill>
        </w:rPr>
        <w:t>价格应按照“供应商须知”中</w:t>
      </w:r>
      <w:r>
        <w:rPr>
          <w:rFonts w:hint="eastAsia" w:ascii="宋体" w:hAnsi="宋体" w:eastAsia="宋体"/>
          <w:color w:val="000000" w:themeColor="text1"/>
          <w:sz w:val="24"/>
          <w:szCs w:val="24"/>
          <w:highlight w:val="none"/>
          <w14:textFill>
            <w14:solidFill>
              <w14:schemeClr w14:val="tx1"/>
            </w14:solidFill>
          </w14:textFill>
        </w:rPr>
        <w:t>磋商</w:t>
      </w:r>
      <w:r>
        <w:rPr>
          <w:rFonts w:ascii="宋体" w:hAnsi="宋体" w:eastAsia="宋体"/>
          <w:color w:val="000000" w:themeColor="text1"/>
          <w:sz w:val="24"/>
          <w:szCs w:val="24"/>
          <w:highlight w:val="none"/>
          <w14:textFill>
            <w14:solidFill>
              <w14:schemeClr w14:val="tx1"/>
            </w14:solidFill>
          </w14:textFill>
        </w:rPr>
        <w:t>报价条款的要求报价</w:t>
      </w:r>
      <w:r>
        <w:rPr>
          <w:rFonts w:hint="eastAsia" w:ascii="宋体" w:hAnsi="宋体" w:eastAsia="宋体"/>
          <w:color w:val="000000" w:themeColor="text1"/>
          <w:sz w:val="24"/>
          <w:szCs w:val="24"/>
          <w:highlight w:val="none"/>
          <w14:textFill>
            <w14:solidFill>
              <w14:schemeClr w14:val="tx1"/>
            </w14:solidFill>
          </w14:textFill>
        </w:rPr>
        <w:t>；</w:t>
      </w:r>
    </w:p>
    <w:p>
      <w:pPr>
        <w:spacing w:line="360" w:lineRule="auto"/>
        <w:ind w:firstLine="480" w:firstLineChars="200"/>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2</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14:textFill>
            <w14:solidFill>
              <w14:schemeClr w14:val="tx1"/>
            </w14:solidFill>
          </w14:textFill>
        </w:rPr>
        <w:t>所有价格均以人民币计算，单位为元，精确到小数点后第二</w:t>
      </w:r>
      <w:r>
        <w:rPr>
          <w:rFonts w:hint="eastAsia" w:ascii="宋体" w:hAnsi="宋体" w:eastAsia="宋体"/>
          <w:color w:val="000000" w:themeColor="text1"/>
          <w:sz w:val="24"/>
          <w:szCs w:val="24"/>
          <w:highlight w:val="none"/>
          <w14:textFill>
            <w14:solidFill>
              <w14:schemeClr w14:val="tx1"/>
            </w14:solidFill>
          </w14:textFill>
        </w:rPr>
        <w:t>位；</w:t>
      </w:r>
    </w:p>
    <w:p>
      <w:pPr>
        <w:spacing w:line="360" w:lineRule="auto"/>
        <w:ind w:firstLine="480" w:firstLineChars="200"/>
        <w:rPr>
          <w:rFonts w:ascii="宋体" w:hAnsi="宋体" w:eastAsia="宋体"/>
          <w:color w:val="000000" w:themeColor="text1"/>
          <w:sz w:val="24"/>
          <w:szCs w:val="24"/>
          <w:highlight w:val="none"/>
          <w14:textFill>
            <w14:solidFill>
              <w14:schemeClr w14:val="tx1"/>
            </w14:solidFill>
          </w14:textFill>
        </w:rPr>
      </w:pPr>
      <w:r>
        <w:rPr>
          <w:rFonts w:ascii="宋体" w:hAnsi="宋体" w:eastAsia="宋体"/>
          <w:color w:val="000000" w:themeColor="text1"/>
          <w:sz w:val="24"/>
          <w:szCs w:val="24"/>
          <w:highlight w:val="none"/>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本表为磋商首次报价所用，不代表供应商最终报价。</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cstheme="majorBidi"/>
          <w:bCs/>
          <w:color w:val="000000" w:themeColor="text1"/>
          <w:sz w:val="30"/>
          <w:szCs w:val="32"/>
          <w:highlight w:val="none"/>
          <w14:textFill>
            <w14:solidFill>
              <w14:schemeClr w14:val="tx1"/>
            </w14:solidFill>
          </w14:textFill>
        </w:rPr>
      </w:pPr>
      <w:r>
        <w:rPr>
          <w:color w:val="000000" w:themeColor="text1"/>
          <w:highlight w:val="none"/>
          <w14:textFill>
            <w14:solidFill>
              <w14:schemeClr w14:val="tx1"/>
            </w14:solidFill>
          </w14:textFill>
        </w:rPr>
        <w:br w:type="page"/>
      </w:r>
    </w:p>
    <w:bookmarkEnd w:id="144"/>
    <w:p>
      <w:pPr>
        <w:pStyle w:val="4"/>
        <w:jc w:val="center"/>
        <w:rPr>
          <w:sz w:val="36"/>
          <w:szCs w:val="36"/>
          <w:highlight w:val="none"/>
        </w:rPr>
      </w:pPr>
      <w:bookmarkStart w:id="145" w:name="_Toc65158814"/>
      <w:bookmarkStart w:id="146" w:name="_Toc64548577"/>
      <w:bookmarkStart w:id="147" w:name="_Toc38457868"/>
      <w:bookmarkStart w:id="148" w:name="_Toc8826"/>
      <w:bookmarkStart w:id="149" w:name="_Toc434831564"/>
      <w:bookmarkStart w:id="150" w:name="_Toc481155495"/>
      <w:bookmarkStart w:id="151" w:name="_Toc481092049"/>
      <w:bookmarkStart w:id="152" w:name="_Toc26947386"/>
      <w:bookmarkStart w:id="153" w:name="_Toc27731288"/>
      <w:bookmarkStart w:id="154" w:name="_Toc28888"/>
      <w:r>
        <w:rPr>
          <w:rFonts w:hint="eastAsia"/>
          <w:sz w:val="36"/>
          <w:szCs w:val="36"/>
          <w:highlight w:val="none"/>
        </w:rPr>
        <w:t>报价明细表</w:t>
      </w:r>
      <w:bookmarkEnd w:id="145"/>
      <w:bookmarkEnd w:id="146"/>
      <w:bookmarkEnd w:id="147"/>
    </w:p>
    <w:p>
      <w:pPr>
        <w:spacing w:line="360" w:lineRule="auto"/>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项目包号：</w:t>
      </w:r>
      <w:r>
        <w:rPr>
          <w:rFonts w:hint="eastAsia" w:ascii="宋体" w:hAnsi="宋体"/>
          <w:color w:val="000000" w:themeColor="text1"/>
          <w:sz w:val="24"/>
          <w:highlight w:val="none"/>
          <w:u w:val="single"/>
          <w14:textFill>
            <w14:solidFill>
              <w14:schemeClr w14:val="tx1"/>
            </w14:solidFill>
          </w14:textFill>
        </w:rPr>
        <w:t>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83"/>
        <w:gridCol w:w="1956"/>
        <w:gridCol w:w="2389"/>
        <w:gridCol w:w="779"/>
        <w:gridCol w:w="779"/>
        <w:gridCol w:w="779"/>
        <w:gridCol w:w="779"/>
        <w:gridCol w:w="77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序号</w:t>
            </w:r>
          </w:p>
        </w:tc>
        <w:tc>
          <w:tcPr>
            <w:tcW w:w="1072" w:type="pct"/>
            <w:tcBorders>
              <w:top w:val="single" w:color="auto" w:sz="4" w:space="0"/>
            </w:tcBorders>
            <w:shd w:val="clear" w:color="auto" w:fill="BEBEBE" w:themeFill="background1" w:themeFillShade="BF"/>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名称</w:t>
            </w:r>
          </w:p>
        </w:tc>
        <w:tc>
          <w:tcPr>
            <w:tcW w:w="1310"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eastAsia="宋体"/>
                <w:sz w:val="24"/>
                <w:szCs w:val="24"/>
                <w:highlight w:val="none"/>
              </w:rPr>
              <w:t>主要技术响应内容</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数量</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hAnsi="宋体"/>
                <w:color w:val="000000"/>
                <w:sz w:val="24"/>
                <w:szCs w:val="24"/>
                <w:highlight w:val="none"/>
              </w:rPr>
            </w:pPr>
            <w:r>
              <w:rPr>
                <w:rFonts w:hint="eastAsia" w:ascii="宋体" w:hAnsi="宋体"/>
                <w:color w:val="000000"/>
                <w:sz w:val="24"/>
                <w:szCs w:val="24"/>
                <w:highlight w:val="none"/>
              </w:rPr>
              <w:t>单位</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单价</w:t>
            </w:r>
          </w:p>
        </w:tc>
        <w:tc>
          <w:tcPr>
            <w:tcW w:w="427"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eastAsia="宋体"/>
                <w:sz w:val="24"/>
                <w:szCs w:val="24"/>
                <w:highlight w:val="none"/>
              </w:rPr>
              <w:t>小计</w:t>
            </w:r>
          </w:p>
        </w:tc>
        <w:tc>
          <w:tcPr>
            <w:tcW w:w="425" w:type="pct"/>
            <w:tcBorders>
              <w:top w:val="single" w:color="auto" w:sz="4" w:space="0"/>
            </w:tcBorders>
            <w:shd w:val="clear" w:color="auto" w:fill="BEBEBE" w:themeFill="background1" w:themeFillShade="BF"/>
            <w:vAlign w:val="center"/>
          </w:tcPr>
          <w:p>
            <w:pPr>
              <w:adjustRightInd w:val="0"/>
              <w:snapToGrid w:val="0"/>
              <w:jc w:val="center"/>
              <w:rPr>
                <w:rFonts w:ascii="宋体"/>
                <w:color w:val="000000"/>
                <w:sz w:val="24"/>
                <w:szCs w:val="24"/>
                <w:highlight w:val="none"/>
              </w:rPr>
            </w:pPr>
            <w:r>
              <w:rPr>
                <w:rFonts w:hint="eastAsia" w:ascii="宋体" w:hAnsi="宋体"/>
                <w:color w:val="00000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一</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服务名称</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1072" w:type="pct"/>
            <w:vAlign w:val="center"/>
          </w:tcPr>
          <w:p>
            <w:pPr>
              <w:adjustRightInd w:val="0"/>
              <w:snapToGrid w:val="0"/>
              <w:ind w:left="-88" w:leftChars="-42"/>
              <w:jc w:val="center"/>
              <w:rPr>
                <w:rFonts w:ascii="宋体" w:hAnsi="宋体"/>
                <w:color w:val="000000"/>
                <w:sz w:val="24"/>
                <w:szCs w:val="24"/>
                <w:highlight w:val="none"/>
              </w:rPr>
            </w:pP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1072" w:type="pct"/>
            <w:vAlign w:val="center"/>
          </w:tcPr>
          <w:p>
            <w:pPr>
              <w:adjustRightInd w:val="0"/>
              <w:snapToGrid w:val="0"/>
              <w:ind w:left="-88" w:leftChars="-42"/>
              <w:jc w:val="center"/>
              <w:rPr>
                <w:rFonts w:ascii="宋体" w:hAnsi="宋体"/>
                <w:color w:val="000000"/>
                <w:sz w:val="24"/>
                <w:szCs w:val="24"/>
                <w:highlight w:val="none"/>
              </w:rPr>
            </w:pP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1072" w:type="pct"/>
            <w:vAlign w:val="center"/>
          </w:tcPr>
          <w:p>
            <w:pPr>
              <w:adjustRightInd w:val="0"/>
              <w:snapToGrid w:val="0"/>
              <w:ind w:left="-88" w:leftChars="-42"/>
              <w:jc w:val="center"/>
              <w:rPr>
                <w:rFonts w:ascii="宋体" w:hAnsi="宋体"/>
                <w:color w:val="000000"/>
                <w:sz w:val="24"/>
                <w:szCs w:val="24"/>
                <w:highlight w:val="none"/>
              </w:rPr>
            </w:pP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w:t>
            </w: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合计</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二</w:t>
            </w: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其他费用</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运输费</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安装费</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color w:val="000000"/>
                <w:sz w:val="24"/>
                <w:szCs w:val="24"/>
                <w:highlight w:val="none"/>
              </w:rPr>
              <w:t>管理费</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4</w:t>
            </w:r>
          </w:p>
        </w:tc>
        <w:tc>
          <w:tcPr>
            <w:tcW w:w="1072" w:type="pct"/>
            <w:vAlign w:val="center"/>
          </w:tcPr>
          <w:p>
            <w:pPr>
              <w:adjustRightInd w:val="0"/>
              <w:snapToGrid w:val="0"/>
              <w:ind w:left="-88" w:leftChars="-42"/>
              <w:jc w:val="center"/>
              <w:rPr>
                <w:rFonts w:ascii="宋体"/>
                <w:color w:val="000000"/>
                <w:sz w:val="24"/>
                <w:szCs w:val="24"/>
                <w:highlight w:val="none"/>
              </w:rPr>
            </w:pPr>
            <w:r>
              <w:rPr>
                <w:rFonts w:hint="eastAsia" w:ascii="宋体" w:hAnsi="宋体"/>
                <w:color w:val="000000"/>
                <w:sz w:val="24"/>
                <w:szCs w:val="24"/>
                <w:highlight w:val="none"/>
              </w:rPr>
              <w:t>税金</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85"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三</w:t>
            </w:r>
          </w:p>
        </w:tc>
        <w:tc>
          <w:tcPr>
            <w:tcW w:w="1072" w:type="pct"/>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合计</w:t>
            </w:r>
          </w:p>
        </w:tc>
        <w:tc>
          <w:tcPr>
            <w:tcW w:w="1310"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7" w:type="pct"/>
            <w:vAlign w:val="center"/>
          </w:tcPr>
          <w:p>
            <w:pPr>
              <w:adjustRightInd w:val="0"/>
              <w:snapToGrid w:val="0"/>
              <w:jc w:val="center"/>
              <w:rPr>
                <w:rFonts w:ascii="宋体"/>
                <w:color w:val="000000"/>
                <w:sz w:val="24"/>
                <w:szCs w:val="24"/>
                <w:highlight w:val="none"/>
              </w:rPr>
            </w:pPr>
          </w:p>
        </w:tc>
        <w:tc>
          <w:tcPr>
            <w:tcW w:w="425" w:type="pct"/>
            <w:vAlign w:val="center"/>
          </w:tcPr>
          <w:p>
            <w:pPr>
              <w:adjustRightInd w:val="0"/>
              <w:snapToGrid w:val="0"/>
              <w:jc w:val="center"/>
              <w:rPr>
                <w:rFonts w:ascii="宋体"/>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58" w:type="pct"/>
            <w:gridSpan w:val="2"/>
            <w:vAlign w:val="center"/>
          </w:tcPr>
          <w:p>
            <w:pPr>
              <w:adjustRightInd w:val="0"/>
              <w:snapToGrid w:val="0"/>
              <w:ind w:left="-88" w:leftChars="-42"/>
              <w:jc w:val="center"/>
              <w:rPr>
                <w:rFonts w:ascii="宋体" w:hAnsi="宋体"/>
                <w:color w:val="000000"/>
                <w:sz w:val="24"/>
                <w:szCs w:val="24"/>
                <w:highlight w:val="none"/>
              </w:rPr>
            </w:pPr>
            <w:r>
              <w:rPr>
                <w:rFonts w:hint="eastAsia" w:ascii="宋体" w:hAnsi="宋体"/>
                <w:color w:val="000000"/>
                <w:sz w:val="24"/>
                <w:szCs w:val="24"/>
                <w:highlight w:val="none"/>
              </w:rPr>
              <w:t>总计</w:t>
            </w:r>
          </w:p>
        </w:tc>
        <w:tc>
          <w:tcPr>
            <w:tcW w:w="3442" w:type="pct"/>
            <w:gridSpan w:val="6"/>
            <w:vAlign w:val="center"/>
          </w:tcPr>
          <w:p>
            <w:pPr>
              <w:adjustRightInd w:val="0"/>
              <w:snapToGrid w:val="0"/>
              <w:jc w:val="center"/>
              <w:rPr>
                <w:rFonts w:ascii="宋体"/>
                <w:color w:val="000000"/>
                <w:sz w:val="24"/>
                <w:szCs w:val="24"/>
                <w:highlight w:val="none"/>
              </w:rPr>
            </w:pPr>
            <w:r>
              <w:rPr>
                <w:rFonts w:hint="eastAsia" w:ascii="宋体"/>
                <w:color w:val="000000"/>
                <w:sz w:val="24"/>
                <w:szCs w:val="24"/>
                <w:highlight w:val="none"/>
              </w:rPr>
              <w:t>人民币小写：</w:t>
            </w:r>
          </w:p>
          <w:p>
            <w:pPr>
              <w:adjustRightInd w:val="0"/>
              <w:snapToGrid w:val="0"/>
              <w:jc w:val="center"/>
              <w:rPr>
                <w:rFonts w:ascii="宋体"/>
                <w:color w:val="000000"/>
                <w:sz w:val="24"/>
                <w:szCs w:val="24"/>
                <w:highlight w:val="none"/>
              </w:rPr>
            </w:pPr>
            <w:r>
              <w:rPr>
                <w:rFonts w:hint="eastAsia" w:ascii="宋体"/>
                <w:color w:val="000000"/>
                <w:sz w:val="24"/>
                <w:szCs w:val="24"/>
                <w:highlight w:val="none"/>
              </w:rPr>
              <w:t>人民币大写：</w:t>
            </w:r>
          </w:p>
        </w:tc>
      </w:tr>
    </w:tbl>
    <w:p>
      <w:pPr>
        <w:adjustRightInd w:val="0"/>
        <w:snapToGrid w:val="0"/>
        <w:spacing w:line="360" w:lineRule="auto"/>
        <w:rPr>
          <w:rFonts w:ascii="宋体"/>
          <w:color w:val="000000"/>
          <w:sz w:val="24"/>
          <w:highlight w:val="none"/>
        </w:rPr>
      </w:pPr>
      <w:bookmarkStart w:id="155" w:name="_Toc2782609"/>
      <w:bookmarkStart w:id="156" w:name="_Toc511895477"/>
      <w:bookmarkStart w:id="157" w:name="_Toc511894536"/>
      <w:r>
        <w:rPr>
          <w:rFonts w:hint="eastAsia" w:ascii="宋体" w:hAnsi="宋体"/>
          <w:b/>
          <w:bCs/>
          <w:color w:val="000000"/>
          <w:sz w:val="24"/>
          <w:szCs w:val="24"/>
          <w:highlight w:val="none"/>
        </w:rPr>
        <w:t>说明：</w:t>
      </w:r>
      <w:r>
        <w:rPr>
          <w:rFonts w:ascii="宋体" w:hAnsi="宋体"/>
          <w:color w:val="000000"/>
          <w:sz w:val="24"/>
          <w:szCs w:val="24"/>
          <w:highlight w:val="none"/>
        </w:rPr>
        <w:t>1</w:t>
      </w:r>
      <w:r>
        <w:rPr>
          <w:rFonts w:hint="eastAsia" w:ascii="宋体" w:hAnsi="宋体"/>
          <w:color w:val="000000"/>
          <w:sz w:val="24"/>
          <w:szCs w:val="24"/>
          <w:highlight w:val="none"/>
        </w:rPr>
        <w:t>、</w:t>
      </w:r>
      <w:r>
        <w:rPr>
          <w:rFonts w:hint="eastAsia" w:ascii="宋体" w:hAnsi="宋体" w:cs="Courier New"/>
          <w:color w:val="0D0D0D" w:themeColor="text1" w:themeTint="F2"/>
          <w:sz w:val="24"/>
          <w:szCs w:val="21"/>
          <w:highlight w:val="none"/>
          <w14:textFill>
            <w14:solidFill>
              <w14:schemeClr w14:val="tx1">
                <w14:lumMod w14:val="95000"/>
                <w14:lumOff w14:val="5000"/>
              </w14:schemeClr>
            </w14:solidFill>
          </w14:textFill>
        </w:rPr>
        <w:t>所有</w:t>
      </w:r>
      <w:r>
        <w:rPr>
          <w:rFonts w:hint="eastAsia" w:ascii="宋体" w:hAnsi="宋体"/>
          <w:sz w:val="24"/>
          <w:highlight w:val="none"/>
        </w:rPr>
        <w:t>价</w:t>
      </w:r>
      <w:r>
        <w:rPr>
          <w:rFonts w:hint="eastAsia" w:ascii="宋体" w:hAnsi="宋体" w:cs="Courier New"/>
          <w:color w:val="0D0D0D" w:themeColor="text1" w:themeTint="F2"/>
          <w:sz w:val="24"/>
          <w:szCs w:val="21"/>
          <w:highlight w:val="none"/>
          <w14:textFill>
            <w14:solidFill>
              <w14:schemeClr w14:val="tx1">
                <w14:lumMod w14:val="95000"/>
                <w14:lumOff w14:val="5000"/>
              </w14:schemeClr>
            </w14:solidFill>
          </w14:textFill>
        </w:rPr>
        <w:t>格</w:t>
      </w:r>
      <w:r>
        <w:rPr>
          <w:rFonts w:hint="eastAsia" w:ascii="宋体" w:hAnsi="宋体"/>
          <w:sz w:val="24"/>
          <w:highlight w:val="none"/>
        </w:rPr>
        <w:t>均用人民币表示，单位为元，</w:t>
      </w:r>
      <w:r>
        <w:rPr>
          <w:rFonts w:hint="eastAsia" w:ascii="宋体" w:hAnsi="宋体"/>
          <w:color w:val="000000"/>
          <w:sz w:val="24"/>
          <w:szCs w:val="24"/>
          <w:highlight w:val="none"/>
        </w:rPr>
        <w:t>总计价格必须与报价一览表一致。</w:t>
      </w:r>
    </w:p>
    <w:p>
      <w:pPr>
        <w:adjustRightInd w:val="0"/>
        <w:snapToGrid w:val="0"/>
        <w:spacing w:line="360" w:lineRule="auto"/>
        <w:ind w:firstLine="720" w:firstLineChars="300"/>
        <w:rPr>
          <w:rFonts w:ascii="宋体"/>
          <w:color w:val="000000"/>
          <w:sz w:val="24"/>
          <w:highlight w:val="none"/>
        </w:rPr>
      </w:pPr>
      <w:r>
        <w:rPr>
          <w:rFonts w:ascii="宋体" w:hAnsi="宋体"/>
          <w:color w:val="000000"/>
          <w:sz w:val="24"/>
          <w:szCs w:val="24"/>
          <w:highlight w:val="none"/>
        </w:rPr>
        <w:t>2</w:t>
      </w:r>
      <w:r>
        <w:rPr>
          <w:rFonts w:hint="eastAsia" w:ascii="宋体" w:hAnsi="宋体"/>
          <w:color w:val="000000"/>
          <w:sz w:val="24"/>
          <w:szCs w:val="24"/>
          <w:highlight w:val="none"/>
        </w:rPr>
        <w:t>、如果不提供详细的分项报价表将被视为没有实质性响应</w:t>
      </w:r>
      <w:r>
        <w:rPr>
          <w:rFonts w:hint="eastAsia" w:ascii="宋体" w:hAnsi="宋体"/>
          <w:color w:val="000000"/>
          <w:sz w:val="24"/>
          <w:highlight w:val="none"/>
        </w:rPr>
        <w:t>磋商</w:t>
      </w:r>
      <w:r>
        <w:rPr>
          <w:rFonts w:hint="eastAsia" w:ascii="宋体" w:hAnsi="宋体"/>
          <w:color w:val="000000"/>
          <w:sz w:val="24"/>
          <w:szCs w:val="24"/>
          <w:highlight w:val="none"/>
        </w:rPr>
        <w:t>文件。</w:t>
      </w:r>
    </w:p>
    <w:p>
      <w:pPr>
        <w:adjustRightInd w:val="0"/>
        <w:snapToGrid w:val="0"/>
        <w:spacing w:line="360" w:lineRule="auto"/>
        <w:ind w:left="1080" w:leftChars="343" w:hanging="360" w:hangingChars="150"/>
        <w:rPr>
          <w:rFonts w:ascii="宋体"/>
          <w:color w:val="000000"/>
          <w:sz w:val="24"/>
          <w:szCs w:val="24"/>
          <w:highlight w:val="none"/>
        </w:rPr>
      </w:pPr>
      <w:r>
        <w:rPr>
          <w:rFonts w:ascii="宋体" w:hAnsi="宋体"/>
          <w:color w:val="000000"/>
          <w:sz w:val="24"/>
          <w:szCs w:val="24"/>
          <w:highlight w:val="none"/>
        </w:rPr>
        <w:t>3</w:t>
      </w:r>
      <w:r>
        <w:rPr>
          <w:rFonts w:hint="eastAsia" w:ascii="宋体" w:hAnsi="宋体"/>
          <w:color w:val="000000"/>
          <w:sz w:val="24"/>
          <w:szCs w:val="24"/>
          <w:highlight w:val="none"/>
        </w:rPr>
        <w:t>、“服务名称”栏根据项目具体采购情况自行增（减）行填写；若需增加栏目，请在</w:t>
      </w:r>
      <w:r>
        <w:rPr>
          <w:rFonts w:hint="eastAsia" w:ascii="宋体"/>
          <w:color w:val="000000"/>
          <w:sz w:val="24"/>
          <w:szCs w:val="24"/>
          <w:highlight w:val="none"/>
        </w:rPr>
        <w:t>“</w:t>
      </w:r>
      <w:r>
        <w:rPr>
          <w:rFonts w:hint="eastAsia" w:ascii="宋体" w:hAnsi="宋体"/>
          <w:color w:val="000000"/>
          <w:sz w:val="24"/>
          <w:szCs w:val="24"/>
          <w:highlight w:val="none"/>
        </w:rPr>
        <w:t>项目其他费用</w:t>
      </w:r>
      <w:r>
        <w:rPr>
          <w:rFonts w:hint="eastAsia" w:ascii="宋体"/>
          <w:color w:val="000000"/>
          <w:sz w:val="24"/>
          <w:szCs w:val="24"/>
          <w:highlight w:val="none"/>
        </w:rPr>
        <w:t>”</w:t>
      </w:r>
      <w:r>
        <w:rPr>
          <w:rFonts w:hint="eastAsia" w:ascii="宋体" w:hAnsi="宋体"/>
          <w:color w:val="000000"/>
          <w:sz w:val="24"/>
          <w:szCs w:val="24"/>
          <w:highlight w:val="none"/>
        </w:rPr>
        <w:t>的“税金”行后自行增行填写说明。</w:t>
      </w:r>
    </w:p>
    <w:p>
      <w:pPr>
        <w:rPr>
          <w:highlight w:val="none"/>
        </w:rPr>
      </w:pPr>
    </w:p>
    <w:p>
      <w:pPr>
        <w:rPr>
          <w:highlight w:val="none"/>
        </w:rPr>
      </w:pPr>
    </w:p>
    <w:p>
      <w:pPr>
        <w:spacing w:line="480" w:lineRule="auto"/>
        <w:ind w:firstLine="2880" w:firstLineChars="1200"/>
        <w:rPr>
          <w:rFonts w:asci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供应商：</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（公章）</w:t>
      </w:r>
    </w:p>
    <w:p>
      <w:pPr>
        <w:spacing w:line="480" w:lineRule="auto"/>
        <w:ind w:firstLine="2880" w:firstLineChars="1200"/>
        <w:rPr>
          <w:rFonts w:asci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法定代表人或其委托代理人：</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（签字或盖章）</w:t>
      </w:r>
    </w:p>
    <w:p>
      <w:pPr>
        <w:spacing w:line="480" w:lineRule="auto"/>
        <w:ind w:firstLine="2880" w:firstLineChars="1200"/>
        <w:rPr>
          <w:rFonts w:ascii="Times New Roman" w:hAnsi="Times New Roman" w:eastAsia="黑体"/>
          <w:bCs/>
          <w:sz w:val="30"/>
          <w:szCs w:val="30"/>
          <w:highlight w:val="none"/>
        </w:rPr>
      </w:pPr>
      <w:r>
        <w:rPr>
          <w:rFonts w:hint="eastAsia" w:ascii="宋体" w:hAnsi="宋体"/>
          <w:color w:val="000000" w:themeColor="text1"/>
          <w:sz w:val="24"/>
          <w:highlight w:val="none"/>
          <w14:textFill>
            <w14:solidFill>
              <w14:schemeClr w14:val="tx1"/>
            </w14:solidFill>
          </w14:textFill>
        </w:rPr>
        <w:t>日期：</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日</w:t>
      </w:r>
    </w:p>
    <w:bookmarkEnd w:id="155"/>
    <w:bookmarkEnd w:id="156"/>
    <w:bookmarkEnd w:id="157"/>
    <w:p>
      <w:pPr>
        <w:pStyle w:val="4"/>
        <w:jc w:val="center"/>
        <w:rPr>
          <w:sz w:val="36"/>
          <w:szCs w:val="36"/>
          <w:highlight w:val="none"/>
        </w:rPr>
      </w:pPr>
      <w:bookmarkStart w:id="158" w:name="_Toc65158815"/>
      <w:bookmarkStart w:id="159" w:name="_Hlk64619616"/>
      <w:r>
        <w:rPr>
          <w:sz w:val="36"/>
          <w:szCs w:val="36"/>
          <w:highlight w:val="none"/>
        </w:rPr>
        <w:t>法定代表人身份证明</w:t>
      </w:r>
      <w:bookmarkEnd w:id="148"/>
      <w:bookmarkEnd w:id="149"/>
      <w:r>
        <w:rPr>
          <w:sz w:val="36"/>
          <w:szCs w:val="36"/>
          <w:highlight w:val="none"/>
        </w:rPr>
        <w:t>书</w:t>
      </w:r>
      <w:bookmarkEnd w:id="150"/>
      <w:bookmarkEnd w:id="151"/>
      <w:bookmarkEnd w:id="152"/>
      <w:bookmarkEnd w:id="153"/>
      <w:bookmarkEnd w:id="158"/>
    </w:p>
    <w:p>
      <w:pPr>
        <w:rPr>
          <w:color w:val="000000" w:themeColor="text1"/>
          <w:highlight w:val="none"/>
          <w14:textFill>
            <w14:solidFill>
              <w14:schemeClr w14:val="tx1"/>
            </w14:solidFill>
          </w14:textFill>
        </w:rPr>
      </w:pPr>
    </w:p>
    <w:p>
      <w:pPr>
        <w:spacing w:line="360" w:lineRule="auto"/>
        <w:ind w:firstLine="480" w:firstLineChars="200"/>
        <w:jc w:val="left"/>
        <w:rPr>
          <w:rFonts w:ascii="宋体" w:hAns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单位名称：</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单位性质：</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地　　址：</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成立时间：</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年</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月</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日</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经营期限：</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姓名：</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　性别：</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　年龄：</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　职务：</w:t>
      </w:r>
      <w:r>
        <w:rPr>
          <w:rFonts w:hint="eastAsia" w:ascii="宋体" w:hAnsi="宋体"/>
          <w:color w:val="000000" w:themeColor="text1"/>
          <w:sz w:val="24"/>
          <w:szCs w:val="24"/>
          <w:highlight w:val="none"/>
          <w:u w:val="single"/>
          <w14:textFill>
            <w14:solidFill>
              <w14:schemeClr w14:val="tx1"/>
            </w14:solidFill>
          </w14:textFill>
        </w:rPr>
        <w:t>　　　　</w:t>
      </w:r>
    </w:p>
    <w:p>
      <w:pPr>
        <w:spacing w:line="360" w:lineRule="auto"/>
        <w:ind w:firstLine="480" w:firstLineChars="200"/>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系</w:t>
      </w:r>
      <w:r>
        <w:rPr>
          <w:rFonts w:hint="eastAsia" w:ascii="宋体" w:hAnsi="宋体"/>
          <w:color w:val="000000" w:themeColor="text1"/>
          <w:sz w:val="24"/>
          <w:szCs w:val="24"/>
          <w:highlight w:val="none"/>
          <w:u w:val="single"/>
          <w14:textFill>
            <w14:solidFill>
              <w14:schemeClr w14:val="tx1"/>
            </w14:solidFill>
          </w14:textFill>
        </w:rPr>
        <w:t>　　　　　　　　　　　　　　　　</w:t>
      </w:r>
      <w:r>
        <w:rPr>
          <w:rFonts w:hint="eastAsia" w:ascii="宋体" w:hAnsi="宋体"/>
          <w:color w:val="000000" w:themeColor="text1"/>
          <w:sz w:val="24"/>
          <w:szCs w:val="24"/>
          <w:highlight w:val="none"/>
          <w14:textFill>
            <w14:solidFill>
              <w14:schemeClr w14:val="tx1"/>
            </w14:solidFill>
          </w14:textFill>
        </w:rPr>
        <w:t>的法定代表人。</w:t>
      </w:r>
    </w:p>
    <w:p>
      <w:pPr>
        <w:rPr>
          <w:color w:val="000000" w:themeColor="text1"/>
          <w:highlight w:val="none"/>
          <w14:textFill>
            <w14:solidFill>
              <w14:schemeClr w14:val="tx1"/>
            </w14:solidFill>
          </w14:textFill>
        </w:rPr>
      </w:pPr>
    </w:p>
    <w:p>
      <w:pPr>
        <w:spacing w:line="360" w:lineRule="auto"/>
        <w:ind w:firstLine="480" w:firstLineChars="200"/>
        <w:jc w:val="left"/>
        <w:rPr>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特此证明。</w:t>
      </w:r>
    </w:p>
    <w:p>
      <w:pPr>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证明日期：</w:t>
      </w:r>
      <w:r>
        <w:rPr>
          <w:rFonts w:hint="eastAsia"/>
          <w:color w:val="000000" w:themeColor="text1"/>
          <w:sz w:val="24"/>
          <w:szCs w:val="24"/>
          <w:highlight w:val="none"/>
          <w:u w:val="thick"/>
          <w14:textFill>
            <w14:solidFill>
              <w14:schemeClr w14:val="tx1"/>
            </w14:solidFill>
          </w14:textFill>
        </w:rPr>
        <w:t>　　　</w:t>
      </w:r>
      <w:r>
        <w:rPr>
          <w:rFonts w:hint="eastAsia"/>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thick"/>
          <w14:textFill>
            <w14:solidFill>
              <w14:schemeClr w14:val="tx1"/>
            </w14:solidFill>
          </w14:textFill>
        </w:rPr>
        <w:t>　　</w:t>
      </w:r>
      <w:r>
        <w:rPr>
          <w:rFonts w:hint="eastAsia"/>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thick"/>
          <w14:textFill>
            <w14:solidFill>
              <w14:schemeClr w14:val="tx1"/>
            </w14:solidFill>
          </w14:textFill>
        </w:rPr>
        <w:t>　　</w:t>
      </w:r>
      <w:r>
        <w:rPr>
          <w:rFonts w:hint="eastAsia"/>
          <w:color w:val="000000" w:themeColor="text1"/>
          <w:sz w:val="24"/>
          <w:szCs w:val="24"/>
          <w:highlight w:val="none"/>
          <w14:textFill>
            <w14:solidFill>
              <w14:schemeClr w14:val="tx1"/>
            </w14:solidFill>
          </w14:textFill>
        </w:rPr>
        <w:t>日</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jc w:val="center"/>
        <w:rPr>
          <w:rFonts w:ascii="Times New Roman" w:hAnsi="Times New Roman" w:eastAsia="黑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12700" r="8890" b="15240"/>
                <wp:docPr id="4" name="圆角矩形 2"/>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法定代表人身份证正面复印件</w:t>
                            </w:r>
                          </w:p>
                        </w:txbxContent>
                      </wps:txbx>
                      <wps:bodyPr rot="0" vert="horz" wrap="square" lIns="91440" tIns="792000" rIns="91440" bIns="45720" anchor="t" anchorCtr="0" upright="1">
                        <a:noAutofit/>
                      </wps:bodyPr>
                    </wps:wsp>
                  </a:graphicData>
                </a:graphic>
              </wp:inline>
            </w:drawing>
          </mc:Choice>
          <mc:Fallback>
            <w:pict>
              <v:roundrect id="圆角矩形 2"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NxNEA1gAAAAUBAAAPAAAAAAAAAAEAIAAAACIAAABkcnMvZG93bnJldi54&#10;bWxQSwECFAAUAAAACACHTuJAxtHAHG4CAADBBAAADgAAAAAAAAABACAAAAAlAQAAZHJzL2Uyb0Rv&#10;Yy54bWxQSwUGAAAAAAYABgBZAQAABQY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法定代表人身份证正面复印件</w:t>
                      </w:r>
                    </w:p>
                  </w:txbxContent>
                </v:textbox>
                <w10:wrap type="none"/>
                <w10:anchorlock/>
              </v:roundrect>
            </w:pict>
          </mc:Fallback>
        </mc:AlternateContent>
      </w: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12700" r="8890" b="15240"/>
                <wp:docPr id="1" name="圆角矩形 2"/>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法定代表人身份证反面复印件</w:t>
                            </w:r>
                          </w:p>
                        </w:txbxContent>
                      </wps:txbx>
                      <wps:bodyPr rot="0" vert="horz" wrap="square" lIns="91440" tIns="792000" rIns="91440" bIns="45720" anchor="t" anchorCtr="0" upright="1">
                        <a:noAutofit/>
                      </wps:bodyPr>
                    </wps:wsp>
                  </a:graphicData>
                </a:graphic>
              </wp:inline>
            </w:drawing>
          </mc:Choice>
          <mc:Fallback>
            <w:pict>
              <v:roundrect id="圆角矩形 2"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NxNEA1gAAAAUBAAAPAAAAAAAAAAEAIAAAACIAAABkcnMvZG93bnJldi54&#10;bWxQSwECFAAUAAAACACHTuJAt4QAcm4CAADBBAAADgAAAAAAAAABACAAAAAlAQAAZHJzL2Uyb0Rv&#10;Yy54bWxQSwUGAAAAAAYABgBZAQAABQY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法定代表人身份证反面复印件</w:t>
                      </w:r>
                    </w:p>
                  </w:txbxContent>
                </v:textbox>
                <w10:wrap type="none"/>
                <w10:anchorlock/>
              </v:roundrect>
            </w:pict>
          </mc:Fallback>
        </mc:AlternateContent>
      </w:r>
    </w:p>
    <w:p>
      <w:pPr>
        <w:pStyle w:val="4"/>
        <w:jc w:val="center"/>
        <w:rPr>
          <w:sz w:val="36"/>
          <w:szCs w:val="36"/>
          <w:highlight w:val="none"/>
        </w:rPr>
      </w:pPr>
      <w:bookmarkStart w:id="160" w:name="_Toc29971"/>
      <w:bookmarkStart w:id="161" w:name="_Toc434831565"/>
      <w:r>
        <w:rPr>
          <w:color w:val="000000" w:themeColor="text1"/>
          <w:szCs w:val="24"/>
          <w:highlight w:val="none"/>
          <w14:textFill>
            <w14:solidFill>
              <w14:schemeClr w14:val="tx1"/>
            </w14:solidFill>
          </w14:textFill>
        </w:rPr>
        <w:br w:type="page"/>
      </w:r>
      <w:bookmarkStart w:id="162" w:name="_Toc481155496"/>
      <w:bookmarkStart w:id="163" w:name="_Toc481092050"/>
      <w:bookmarkStart w:id="164" w:name="_Toc26947387"/>
      <w:bookmarkStart w:id="165" w:name="_Toc27731289"/>
      <w:bookmarkStart w:id="166" w:name="_Toc65158816"/>
      <w:r>
        <w:rPr>
          <w:rFonts w:hint="eastAsia"/>
          <w:sz w:val="36"/>
          <w:szCs w:val="36"/>
          <w:highlight w:val="none"/>
        </w:rPr>
        <w:t>法定</w:t>
      </w:r>
      <w:r>
        <w:rPr>
          <w:sz w:val="36"/>
          <w:szCs w:val="36"/>
          <w:highlight w:val="none"/>
        </w:rPr>
        <w:t>代表人授权委托书</w:t>
      </w:r>
      <w:bookmarkEnd w:id="160"/>
      <w:bookmarkEnd w:id="161"/>
      <w:bookmarkEnd w:id="162"/>
      <w:bookmarkEnd w:id="163"/>
      <w:bookmarkEnd w:id="164"/>
      <w:bookmarkEnd w:id="165"/>
      <w:bookmarkEnd w:id="166"/>
    </w:p>
    <w:p>
      <w:pPr>
        <w:spacing w:line="360" w:lineRule="auto"/>
        <w:rPr>
          <w:rFonts w:ascii="宋体" w:hAnsi="宋体"/>
          <w:color w:val="000000" w:themeColor="text1"/>
          <w:sz w:val="24"/>
          <w:szCs w:val="24"/>
          <w:highlight w:val="none"/>
          <w14:textFill>
            <w14:solidFill>
              <w14:schemeClr w14:val="tx1"/>
            </w14:solidFill>
          </w14:textFill>
        </w:rPr>
      </w:pPr>
      <w:bookmarkStart w:id="167" w:name="_Hlk64619587"/>
      <w:r>
        <w:rPr>
          <w:rFonts w:ascii="宋体" w:hAnsi="宋体"/>
          <w:color w:val="000000" w:themeColor="text1"/>
          <w:sz w:val="24"/>
          <w:szCs w:val="24"/>
          <w:highlight w:val="none"/>
          <w:u w:val="single"/>
          <w14:textFill>
            <w14:solidFill>
              <w14:schemeClr w14:val="tx1"/>
            </w14:solidFill>
          </w14:textFill>
        </w:rPr>
        <w:t>　　　　　　　　　　　　</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采购人</w:t>
      </w:r>
      <w:r>
        <w:rPr>
          <w:rFonts w:ascii="宋体" w:hAnsi="宋体"/>
          <w:color w:val="000000" w:themeColor="text1"/>
          <w:sz w:val="24"/>
          <w:szCs w:val="24"/>
          <w:highlight w:val="none"/>
          <w14:textFill>
            <w14:solidFill>
              <w14:schemeClr w14:val="tx1"/>
            </w14:solidFill>
          </w14:textFill>
        </w:rPr>
        <w:t>名称）：</w:t>
      </w:r>
    </w:p>
    <w:bookmarkEnd w:id="167"/>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兹授权</w:t>
      </w:r>
      <w:r>
        <w:rPr>
          <w:rFonts w:hint="eastAsia" w:ascii="宋体" w:hAnsi="宋体"/>
          <w:color w:val="000000" w:themeColor="text1"/>
          <w:sz w:val="24"/>
          <w:highlight w:val="none"/>
          <w:u w:val="single"/>
          <w14:textFill>
            <w14:solidFill>
              <w14:schemeClr w14:val="tx1"/>
            </w14:solidFill>
          </w14:textFill>
        </w:rPr>
        <w:t>（</w:t>
      </w:r>
      <w:r>
        <w:rPr>
          <w:rFonts w:hint="eastAsia" w:hAnsi="宋体"/>
          <w:color w:val="000000" w:themeColor="text1"/>
          <w:sz w:val="24"/>
          <w:szCs w:val="24"/>
          <w:highlight w:val="none"/>
          <w:u w:val="single"/>
          <w14:textFill>
            <w14:solidFill>
              <w14:schemeClr w14:val="tx1"/>
            </w14:solidFill>
          </w14:textFill>
        </w:rPr>
        <w:t>姓名、职务</w:t>
      </w:r>
      <w:r>
        <w:rPr>
          <w:rFonts w:hint="eastAsia" w:ascii="宋体" w:hAnsi="宋体"/>
          <w:color w:val="000000" w:themeColor="text1"/>
          <w:sz w:val="24"/>
          <w:highlight w:val="none"/>
          <w:u w:val="single"/>
          <w14:textFill>
            <w14:solidFill>
              <w14:schemeClr w14:val="tx1"/>
            </w14:solidFill>
          </w14:textFill>
        </w:rPr>
        <w:t>）</w:t>
      </w:r>
      <w:r>
        <w:rPr>
          <w:rFonts w:asciiTheme="minorEastAsia" w:hAnsiTheme="minorEastAsia"/>
          <w:color w:val="000000" w:themeColor="text1"/>
          <w:sz w:val="24"/>
          <w:szCs w:val="24"/>
          <w:highlight w:val="none"/>
          <w14:textFill>
            <w14:solidFill>
              <w14:schemeClr w14:val="tx1"/>
            </w14:solidFill>
          </w14:textFill>
        </w:rPr>
        <w:t>同志为我公司参加贵单位组织的</w:t>
      </w:r>
      <w:r>
        <w:rPr>
          <w:rFonts w:ascii="宋体" w:hAnsi="宋体"/>
          <w:color w:val="000000" w:themeColor="text1"/>
          <w:sz w:val="24"/>
          <w:szCs w:val="24"/>
          <w:highlight w:val="none"/>
          <w:u w:val="single"/>
          <w14:textFill>
            <w14:solidFill>
              <w14:schemeClr w14:val="tx1"/>
            </w14:solidFill>
          </w14:textFill>
        </w:rPr>
        <w:t>（项目名称</w:t>
      </w:r>
      <w:r>
        <w:rPr>
          <w:rFonts w:hint="eastAsia" w:ascii="宋体" w:hAnsi="宋体"/>
          <w:color w:val="000000" w:themeColor="text1"/>
          <w:sz w:val="24"/>
          <w:szCs w:val="24"/>
          <w:highlight w:val="none"/>
          <w:u w:val="single"/>
          <w14:textFill>
            <w14:solidFill>
              <w14:schemeClr w14:val="tx1"/>
            </w14:solidFill>
          </w14:textFill>
        </w:rPr>
        <w:t>、</w:t>
      </w:r>
      <w:r>
        <w:rPr>
          <w:rFonts w:ascii="宋体" w:hAnsi="宋体"/>
          <w:color w:val="000000" w:themeColor="text1"/>
          <w:sz w:val="24"/>
          <w:szCs w:val="24"/>
          <w:highlight w:val="none"/>
          <w:u w:val="single"/>
          <w14:textFill>
            <w14:solidFill>
              <w14:schemeClr w14:val="tx1"/>
            </w14:solidFill>
          </w14:textFill>
        </w:rPr>
        <w:t>项目</w:t>
      </w:r>
      <w:r>
        <w:rPr>
          <w:rFonts w:hint="eastAsia" w:ascii="宋体" w:hAnsi="宋体"/>
          <w:color w:val="000000" w:themeColor="text1"/>
          <w:sz w:val="24"/>
          <w:szCs w:val="24"/>
          <w:highlight w:val="none"/>
          <w:u w:val="single"/>
          <w14:textFill>
            <w14:solidFill>
              <w14:schemeClr w14:val="tx1"/>
            </w14:solidFill>
          </w14:textFill>
        </w:rPr>
        <w:t>编号、项目包号</w:t>
      </w:r>
      <w:r>
        <w:rPr>
          <w:rFonts w:ascii="宋体" w:hAnsi="宋体"/>
          <w:color w:val="000000" w:themeColor="text1"/>
          <w:sz w:val="24"/>
          <w:szCs w:val="24"/>
          <w:highlight w:val="none"/>
          <w:u w:val="single"/>
          <w14:textFill>
            <w14:solidFill>
              <w14:schemeClr w14:val="tx1"/>
            </w14:solidFill>
          </w14:textFill>
        </w:rPr>
        <w:t>）</w:t>
      </w:r>
      <w:r>
        <w:rPr>
          <w:rFonts w:asciiTheme="minorEastAsia" w:hAnsiTheme="minorEastAsia"/>
          <w:color w:val="000000" w:themeColor="text1"/>
          <w:kern w:val="0"/>
          <w:sz w:val="24"/>
          <w:szCs w:val="24"/>
          <w:highlight w:val="none"/>
          <w14:textFill>
            <w14:solidFill>
              <w14:schemeClr w14:val="tx1"/>
            </w14:solidFill>
          </w14:textFill>
        </w:rPr>
        <w:t>项目磋商采购服务</w:t>
      </w:r>
      <w:r>
        <w:rPr>
          <w:rFonts w:asciiTheme="minorEastAsia" w:hAnsiTheme="minorEastAsia"/>
          <w:color w:val="000000" w:themeColor="text1"/>
          <w:sz w:val="24"/>
          <w:szCs w:val="24"/>
          <w:highlight w:val="none"/>
          <w14:textFill>
            <w14:solidFill>
              <w14:schemeClr w14:val="tx1"/>
            </w14:solidFill>
          </w14:textFill>
        </w:rPr>
        <w:t>活动的委托代理人，全权代表我公司处理在该项目采购活动中的一切事宜。</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代理期限</w:t>
      </w:r>
      <w:r>
        <w:rPr>
          <w:rFonts w:hint="eastAsia" w:asciiTheme="minorEastAsia" w:hAnsiTheme="minorEastAsia"/>
          <w:color w:val="000000" w:themeColor="text1"/>
          <w:sz w:val="24"/>
          <w:szCs w:val="24"/>
          <w:highlight w:val="none"/>
          <w14:textFill>
            <w14:solidFill>
              <w14:schemeClr w14:val="tx1"/>
            </w14:solidFill>
          </w14:textFill>
        </w:rPr>
        <w:t>：</w:t>
      </w:r>
      <w:r>
        <w:rPr>
          <w:rFonts w:asciiTheme="minorEastAsia" w:hAnsiTheme="minorEastAsia"/>
          <w:color w:val="000000" w:themeColor="text1"/>
          <w:sz w:val="24"/>
          <w:szCs w:val="24"/>
          <w:highlight w:val="none"/>
          <w14:textFill>
            <w14:solidFill>
              <w14:schemeClr w14:val="tx1"/>
            </w14:solidFill>
          </w14:textFill>
        </w:rPr>
        <w:t>从</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年</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月</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日起至</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年</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月</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日止。</w:t>
      </w:r>
    </w:p>
    <w:p>
      <w:pPr>
        <w:rPr>
          <w:color w:val="000000" w:themeColor="text1"/>
          <w:szCs w:val="21"/>
          <w:highlight w:val="none"/>
          <w14:textFill>
            <w14:solidFill>
              <w14:schemeClr w14:val="tx1"/>
            </w14:solidFill>
          </w14:textFill>
        </w:rPr>
      </w:pP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授权单位：</w:t>
      </w:r>
      <w:r>
        <w:rPr>
          <w:rFonts w:asciiTheme="minorEastAsia" w:hAnsi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w:t>
      </w:r>
      <w:r>
        <w:rPr>
          <w:rFonts w:hint="eastAsia" w:asciiTheme="minorEastAsia" w:hAnsiTheme="minorEastAsia"/>
          <w:color w:val="000000" w:themeColor="text1"/>
          <w:sz w:val="24"/>
          <w:szCs w:val="24"/>
          <w:highlight w:val="none"/>
          <w14:textFill>
            <w14:solidFill>
              <w14:schemeClr w14:val="tx1"/>
            </w14:solidFill>
          </w14:textFill>
        </w:rPr>
        <w:t>公</w:t>
      </w:r>
      <w:r>
        <w:rPr>
          <w:rFonts w:asciiTheme="minorEastAsia" w:hAnsiTheme="minorEastAsia"/>
          <w:color w:val="000000" w:themeColor="text1"/>
          <w:sz w:val="24"/>
          <w:szCs w:val="24"/>
          <w:highlight w:val="none"/>
          <w14:textFill>
            <w14:solidFill>
              <w14:schemeClr w14:val="tx1"/>
            </w14:solidFill>
          </w14:textFill>
        </w:rPr>
        <w:t>章）</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法定代表人：</w:t>
      </w:r>
      <w:r>
        <w:rPr>
          <w:rFonts w:asciiTheme="minorEastAsia" w:hAnsiTheme="minorEastAsia"/>
          <w:color w:val="000000" w:themeColor="text1"/>
          <w:sz w:val="24"/>
          <w:szCs w:val="24"/>
          <w:highlight w:val="none"/>
          <w:u w:val="single"/>
          <w14:textFill>
            <w14:solidFill>
              <w14:schemeClr w14:val="tx1"/>
            </w14:solidFill>
          </w14:textFill>
        </w:rPr>
        <w:t>　　</w:t>
      </w:r>
      <w:r>
        <w:rPr>
          <w:rFonts w:hint="eastAsia"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（签字或盖章）</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签发日期：</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年</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月</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日</w:t>
      </w:r>
    </w:p>
    <w:p>
      <w:pPr>
        <w:rPr>
          <w:color w:val="000000" w:themeColor="text1"/>
          <w:szCs w:val="21"/>
          <w:highlight w:val="none"/>
          <w14:textFill>
            <w14:solidFill>
              <w14:schemeClr w14:val="tx1"/>
            </w14:solidFill>
          </w14:textFill>
        </w:rPr>
      </w:pP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附：</w:t>
      </w:r>
      <w:r>
        <w:rPr>
          <w:rFonts w:hint="eastAsia" w:asciiTheme="minorEastAsia" w:hAnsiTheme="minorEastAsia"/>
          <w:color w:val="000000" w:themeColor="text1"/>
          <w:sz w:val="24"/>
          <w:szCs w:val="24"/>
          <w:highlight w:val="none"/>
          <w14:textFill>
            <w14:solidFill>
              <w14:schemeClr w14:val="tx1"/>
            </w14:solidFill>
          </w14:textFill>
        </w:rPr>
        <w:t>委托</w:t>
      </w:r>
      <w:r>
        <w:rPr>
          <w:rFonts w:asciiTheme="minorEastAsia" w:hAnsiTheme="minorEastAsia"/>
          <w:color w:val="000000" w:themeColor="text1"/>
          <w:sz w:val="24"/>
          <w:szCs w:val="24"/>
          <w:highlight w:val="none"/>
          <w14:textFill>
            <w14:solidFill>
              <w14:schemeClr w14:val="tx1"/>
            </w14:solidFill>
          </w14:textFill>
        </w:rPr>
        <w:t>代理人：</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（签字或盖章）</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工作单位：</w:t>
      </w:r>
      <w:r>
        <w:rPr>
          <w:rFonts w:asciiTheme="minorEastAsia" w:hAnsiTheme="minorEastAsia"/>
          <w:color w:val="000000" w:themeColor="text1"/>
          <w:sz w:val="24"/>
          <w:szCs w:val="24"/>
          <w:highlight w:val="none"/>
          <w:u w:val="single"/>
          <w14:textFill>
            <w14:solidFill>
              <w14:schemeClr w14:val="tx1"/>
            </w14:solidFill>
          </w14:textFill>
        </w:rPr>
        <w:t>　　　　　　　　　　　　　　　　　　　　　</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职务：</w:t>
      </w:r>
      <w:r>
        <w:rPr>
          <w:rFonts w:asciiTheme="minorEastAsia" w:hAnsiTheme="minorEastAsia"/>
          <w:color w:val="000000" w:themeColor="text1"/>
          <w:sz w:val="24"/>
          <w:szCs w:val="24"/>
          <w:highlight w:val="none"/>
          <w:u w:val="single"/>
          <w14:textFill>
            <w14:solidFill>
              <w14:schemeClr w14:val="tx1"/>
            </w14:solidFill>
          </w14:textFill>
        </w:rPr>
        <w:t>　　　　　　　　　　</w:t>
      </w:r>
      <w:r>
        <w:rPr>
          <w:rFonts w:asciiTheme="minorEastAsia" w:hAnsiTheme="minorEastAsia"/>
          <w:color w:val="000000" w:themeColor="text1"/>
          <w:sz w:val="24"/>
          <w:szCs w:val="24"/>
          <w:highlight w:val="none"/>
          <w14:textFill>
            <w14:solidFill>
              <w14:schemeClr w14:val="tx1"/>
            </w14:solidFill>
          </w14:textFill>
        </w:rPr>
        <w:t>　　性别：</w:t>
      </w:r>
      <w:r>
        <w:rPr>
          <w:rFonts w:asciiTheme="minorEastAsia" w:hAnsiTheme="minorEastAsia"/>
          <w:color w:val="000000" w:themeColor="text1"/>
          <w:sz w:val="24"/>
          <w:szCs w:val="24"/>
          <w:highlight w:val="none"/>
          <w:u w:val="single"/>
          <w14:textFill>
            <w14:solidFill>
              <w14:schemeClr w14:val="tx1"/>
            </w14:solidFill>
          </w14:textFill>
        </w:rPr>
        <w:t>　　　　　　　　</w:t>
      </w:r>
    </w:p>
    <w:p>
      <w:pPr>
        <w:spacing w:line="360" w:lineRule="auto"/>
        <w:ind w:firstLine="480" w:firstLineChars="200"/>
        <w:rPr>
          <w:rFonts w:asciiTheme="minorEastAsia" w:hAnsiTheme="minorEastAsia"/>
          <w:color w:val="000000" w:themeColor="text1"/>
          <w:sz w:val="24"/>
          <w:szCs w:val="24"/>
          <w:highlight w:val="none"/>
          <w14:textFill>
            <w14:solidFill>
              <w14:schemeClr w14:val="tx1"/>
            </w14:solidFill>
          </w14:textFill>
        </w:rPr>
      </w:pPr>
      <w:r>
        <w:rPr>
          <w:rFonts w:asciiTheme="minorEastAsia" w:hAnsiTheme="minorEastAsia"/>
          <w:color w:val="000000" w:themeColor="text1"/>
          <w:sz w:val="24"/>
          <w:szCs w:val="24"/>
          <w:highlight w:val="none"/>
          <w14:textFill>
            <w14:solidFill>
              <w14:schemeClr w14:val="tx1"/>
            </w14:solidFill>
          </w14:textFill>
        </w:rPr>
        <w:t>身份证号码：</w:t>
      </w:r>
      <w:r>
        <w:rPr>
          <w:rFonts w:asciiTheme="minorEastAsia" w:hAnsiTheme="minorEastAsia"/>
          <w:color w:val="000000" w:themeColor="text1"/>
          <w:sz w:val="24"/>
          <w:szCs w:val="24"/>
          <w:highlight w:val="none"/>
          <w:u w:val="single"/>
          <w14:textFill>
            <w14:solidFill>
              <w14:schemeClr w14:val="tx1"/>
            </w14:solidFill>
          </w14:textFill>
        </w:rPr>
        <w:t>　　　　　　　　　　　　　　　　　　　　</w:t>
      </w:r>
    </w:p>
    <w:p>
      <w:pPr>
        <w:rPr>
          <w:color w:val="000000" w:themeColor="text1"/>
          <w:highlight w:val="none"/>
          <w14:textFill>
            <w14:solidFill>
              <w14:schemeClr w14:val="tx1"/>
            </w14:solidFill>
          </w14:textFill>
        </w:rPr>
      </w:pPr>
    </w:p>
    <w:p>
      <w:pPr>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8890" r="8890" b="9525"/>
                <wp:docPr id="5" name="圆角矩形 1"/>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委托代理人身份证正面复印件</w:t>
                            </w:r>
                          </w:p>
                        </w:txbxContent>
                      </wps:txbx>
                      <wps:bodyPr rot="0" vert="horz" wrap="square" lIns="91440" tIns="792000" rIns="91440" bIns="45720" anchor="t" anchorCtr="0" upright="1">
                        <a:noAutofit/>
                      </wps:bodyPr>
                    </wps:wsp>
                  </a:graphicData>
                </a:graphic>
              </wp:inline>
            </w:drawing>
          </mc:Choice>
          <mc:Fallback>
            <w:pict>
              <v:roundrect id="圆角矩形 1"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3E0QDWAAAABQEAAA8AAAAAAAAAAQAgAAAAIgAAAGRycy9kb3ducmV2Lnht&#10;bFBLAQIUABQAAAAIAIdO4kAZ0FwgbQIAAMEEAAAOAAAAAAAAAAEAIAAAACUBAABkcnMvZTJvRG9j&#10;LnhtbFBLBQYAAAAABgAGAFkBAAAEBg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委托代理人身份证正面复印件</w:t>
                      </w:r>
                    </w:p>
                  </w:txbxContent>
                </v:textbox>
                <w10:wrap type="none"/>
                <w10:anchorlock/>
              </v:roundrect>
            </w:pict>
          </mc:Fallback>
        </mc:AlternateContent>
      </w:r>
      <w:r>
        <w:rPr>
          <w:color w:val="000000" w:themeColor="text1"/>
          <w:highlight w:val="none"/>
          <w14:textFill>
            <w14:solidFill>
              <w14:schemeClr w14:val="tx1"/>
            </w14:solidFill>
          </w14:textFill>
        </w:rPr>
        <mc:AlternateContent>
          <mc:Choice Requires="wps">
            <w:drawing>
              <wp:inline distT="0" distB="0" distL="0" distR="0">
                <wp:extent cx="3081655" cy="1943735"/>
                <wp:effectExtent l="14605" t="8890" r="8890" b="9525"/>
                <wp:docPr id="2" name="圆角矩形 1"/>
                <wp:cNvGraphicFramePr/>
                <a:graphic xmlns:a="http://schemas.openxmlformats.org/drawingml/2006/main">
                  <a:graphicData uri="http://schemas.microsoft.com/office/word/2010/wordprocessingShape">
                    <wps:wsp>
                      <wps:cNvSpPr>
                        <a:spLocks noChangeArrowheads="1"/>
                      </wps:cNvSpPr>
                      <wps:spPr bwMode="auto">
                        <a:xfrm>
                          <a:off x="0" y="0"/>
                          <a:ext cx="3081655" cy="1943735"/>
                        </a:xfrm>
                        <a:prstGeom prst="roundRect">
                          <a:avLst>
                            <a:gd name="adj" fmla="val 16667"/>
                          </a:avLst>
                        </a:prstGeom>
                        <a:solidFill>
                          <a:srgbClr val="FFFFFF"/>
                        </a:solidFill>
                        <a:ln w="12700">
                          <a:solidFill>
                            <a:srgbClr val="000000"/>
                          </a:solidFill>
                          <a:prstDash val="sysDot"/>
                          <a:bevel/>
                        </a:ln>
                      </wps:spPr>
                      <wps:txbx>
                        <w:txbxContent>
                          <w:p>
                            <w:pPr>
                              <w:jc w:val="center"/>
                              <w:rPr>
                                <w:sz w:val="24"/>
                                <w:szCs w:val="24"/>
                              </w:rPr>
                            </w:pPr>
                            <w:r>
                              <w:rPr>
                                <w:rFonts w:hint="eastAsia"/>
                                <w:sz w:val="24"/>
                                <w:szCs w:val="24"/>
                              </w:rPr>
                              <w:t>委托代理人身份证反面复印件</w:t>
                            </w:r>
                          </w:p>
                        </w:txbxContent>
                      </wps:txbx>
                      <wps:bodyPr rot="0" vert="horz" wrap="square" lIns="91440" tIns="792000" rIns="91440" bIns="45720" anchor="t" anchorCtr="0" upright="1">
                        <a:noAutofit/>
                      </wps:bodyPr>
                    </wps:wsp>
                  </a:graphicData>
                </a:graphic>
              </wp:inline>
            </w:drawing>
          </mc:Choice>
          <mc:Fallback>
            <w:pict>
              <v:roundrect id="圆角矩形 1" o:spid="_x0000_s1026" o:spt="2" style="height:153.05pt;width:242.65pt;" fillcolor="#FFFFFF" filled="t" stroked="t" coordsize="21600,21600" arcsize="0.166666666666667" o:gfxdata="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M3E0QDWAAAABQEAAA8AAAAAAAAAAQAgAAAAIgAAAGRycy9kb3ducmV2Lnht&#10;bFBLAQIUABQAAAAIAIdO4kCIpNasbQIAAMEEAAAOAAAAAAAAAAEAIAAAACUBAABkcnMvZTJvRG9j&#10;LnhtbFBLBQYAAAAABgAGAFkBAAAEBgAAAAA=&#10;">
                <v:fill on="t" focussize="0,0"/>
                <v:stroke weight="1pt" color="#000000" joinstyle="bevel" dashstyle="1 1"/>
                <v:imagedata o:title=""/>
                <o:lock v:ext="edit" aspectratio="f"/>
                <v:textbox inset="2.54mm,22mm,2.54mm,1.27mm">
                  <w:txbxContent>
                    <w:p>
                      <w:pPr>
                        <w:jc w:val="center"/>
                        <w:rPr>
                          <w:sz w:val="24"/>
                          <w:szCs w:val="24"/>
                        </w:rPr>
                      </w:pPr>
                      <w:r>
                        <w:rPr>
                          <w:rFonts w:hint="eastAsia"/>
                          <w:sz w:val="24"/>
                          <w:szCs w:val="24"/>
                        </w:rPr>
                        <w:t>委托代理人身份证反面复印件</w:t>
                      </w:r>
                    </w:p>
                  </w:txbxContent>
                </v:textbox>
                <w10:wrap type="none"/>
                <w10:anchorlock/>
              </v:roundrect>
            </w:pict>
          </mc:Fallback>
        </mc:AlternateContent>
      </w:r>
    </w:p>
    <w:p>
      <w:pPr>
        <w:rPr>
          <w:highlight w:val="none"/>
        </w:rPr>
      </w:pPr>
    </w:p>
    <w:p>
      <w:pP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b/>
          <w:color w:val="000000" w:themeColor="text1"/>
          <w:sz w:val="24"/>
          <w:szCs w:val="24"/>
          <w:highlight w:val="none"/>
          <w:shd w:val="pct10" w:color="auto" w:fill="FFFFFF"/>
          <w14:textFill>
            <w14:solidFill>
              <w14:schemeClr w14:val="tx1"/>
            </w14:solidFill>
          </w14:textFill>
        </w:rPr>
        <w:t>注</w:t>
      </w:r>
      <w:r>
        <w:rPr>
          <w:rFonts w:asciiTheme="minorEastAsia" w:hAnsiTheme="minorEastAsia"/>
          <w:b/>
          <w:color w:val="000000" w:themeColor="text1"/>
          <w:sz w:val="24"/>
          <w:szCs w:val="24"/>
          <w:highlight w:val="none"/>
          <w:shd w:val="pct10" w:color="auto" w:fill="FFFFFF"/>
          <w14:textFill>
            <w14:solidFill>
              <w14:schemeClr w14:val="tx1"/>
            </w14:solidFill>
          </w14:textFill>
        </w:rPr>
        <w:t>：磋商</w:t>
      </w:r>
      <w:r>
        <w:rPr>
          <w:rFonts w:hint="eastAsia" w:asciiTheme="minorEastAsia" w:hAnsiTheme="minorEastAsia"/>
          <w:b/>
          <w:color w:val="000000" w:themeColor="text1"/>
          <w:sz w:val="24"/>
          <w:szCs w:val="24"/>
          <w:highlight w:val="none"/>
          <w:shd w:val="pct10" w:color="auto" w:fill="FFFFFF"/>
          <w14:textFill>
            <w14:solidFill>
              <w14:schemeClr w14:val="tx1"/>
            </w14:solidFill>
          </w14:textFill>
        </w:rPr>
        <w:t>时</w:t>
      </w:r>
      <w:r>
        <w:rPr>
          <w:rFonts w:hint="eastAsia" w:cs="宋体" w:asciiTheme="minorEastAsia" w:hAnsiTheme="minorEastAsia"/>
          <w:b/>
          <w:bCs/>
          <w:color w:val="000000" w:themeColor="text1"/>
          <w:sz w:val="24"/>
          <w:szCs w:val="24"/>
          <w:highlight w:val="none"/>
          <w:shd w:val="pct10" w:color="auto" w:fill="FFFFFF"/>
          <w14:textFill>
            <w14:solidFill>
              <w14:schemeClr w14:val="tx1"/>
            </w14:solidFill>
          </w14:textFill>
        </w:rPr>
        <w:t>，供应商授权代表须单独携带一份《法定代表人授权委托书》原件。</w:t>
      </w:r>
    </w:p>
    <w:bookmarkEnd w:id="159"/>
    <w:p>
      <w:pPr>
        <w:pStyle w:val="4"/>
        <w:jc w:val="center"/>
        <w:rPr>
          <w:sz w:val="36"/>
          <w:szCs w:val="36"/>
          <w:highlight w:val="none"/>
        </w:rPr>
      </w:pPr>
      <w:bookmarkStart w:id="168" w:name="_Toc27731290"/>
      <w:bookmarkStart w:id="169" w:name="_Toc528249458"/>
      <w:bookmarkStart w:id="170" w:name="_Toc19885671"/>
      <w:bookmarkStart w:id="171" w:name="_Toc65158817"/>
      <w:bookmarkStart w:id="172" w:name="_Toc26947388"/>
      <w:bookmarkStart w:id="173" w:name="_Toc20134251"/>
      <w:bookmarkStart w:id="174" w:name="_Toc523466168"/>
      <w:bookmarkStart w:id="175" w:name="_Toc481155497"/>
      <w:bookmarkStart w:id="176" w:name="_Toc481092051"/>
      <w:bookmarkStart w:id="177" w:name="_Toc16762664"/>
      <w:bookmarkStart w:id="178" w:name="_Toc15393140"/>
      <w:r>
        <w:rPr>
          <w:rFonts w:hint="eastAsia"/>
          <w:sz w:val="36"/>
          <w:szCs w:val="36"/>
          <w:highlight w:val="none"/>
        </w:rPr>
        <w:t>商务响应偏离表</w:t>
      </w:r>
      <w:bookmarkEnd w:id="168"/>
      <w:bookmarkEnd w:id="169"/>
      <w:bookmarkEnd w:id="170"/>
      <w:bookmarkEnd w:id="171"/>
      <w:bookmarkEnd w:id="172"/>
      <w:bookmarkEnd w:id="173"/>
    </w:p>
    <w:p>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adjustRightInd w:val="0"/>
        <w:snapToGrid w:val="0"/>
        <w:spacing w:line="360" w:lineRule="auto"/>
        <w:rPr>
          <w:rFonts w:ascii="宋体" w:hAnsi="宋体" w:eastAsia="宋体" w:cs="Times New Roman"/>
          <w:color w:val="000000" w:themeColor="text1"/>
          <w:sz w:val="24"/>
          <w:szCs w:val="21"/>
          <w:highlight w:val="none"/>
          <w14:textFill>
            <w14:solidFill>
              <w14:schemeClr w14:val="tx1"/>
            </w14:solidFill>
          </w14:textFill>
        </w:rPr>
      </w:pPr>
      <w:r>
        <w:rPr>
          <w:rFonts w:hint="eastAsia" w:ascii="宋体" w:hAnsi="宋体" w:eastAsia="宋体" w:cs="Times New Roman"/>
          <w:color w:val="000000" w:themeColor="text1"/>
          <w:sz w:val="24"/>
          <w:szCs w:val="21"/>
          <w:highlight w:val="none"/>
          <w14:textFill>
            <w14:solidFill>
              <w14:schemeClr w14:val="tx1"/>
            </w14:solidFill>
          </w14:textFill>
        </w:rPr>
        <w:t>项目编号：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w:t>
      </w:r>
      <w:r>
        <w:rPr>
          <w:rFonts w:hint="eastAsia" w:ascii="宋体" w:hAnsi="宋体" w:eastAsia="宋体" w:cs="Times New Roman"/>
          <w:color w:val="000000" w:themeColor="text1"/>
          <w:sz w:val="24"/>
          <w:szCs w:val="21"/>
          <w:highlight w:val="none"/>
          <w14:textFill>
            <w14:solidFill>
              <w14:schemeClr w14:val="tx1"/>
            </w14:solidFill>
          </w14:textFill>
        </w:rPr>
        <w:t>项目包号：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3058"/>
        <w:gridCol w:w="3058"/>
        <w:gridCol w:w="1375"/>
        <w:gridCol w:w="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序号</w:t>
            </w:r>
          </w:p>
        </w:tc>
        <w:tc>
          <w:tcPr>
            <w:tcW w:w="1677"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磋商文件商务要求条款</w:t>
            </w:r>
          </w:p>
        </w:tc>
        <w:tc>
          <w:tcPr>
            <w:tcW w:w="1677"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响应文件商务响应内容</w:t>
            </w:r>
          </w:p>
        </w:tc>
        <w:tc>
          <w:tcPr>
            <w:tcW w:w="754"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偏离说明</w:t>
            </w:r>
          </w:p>
        </w:tc>
        <w:tc>
          <w:tcPr>
            <w:tcW w:w="446" w:type="pct"/>
            <w:shd w:val="clear" w:color="auto" w:fill="BEBEBE" w:themeFill="background1" w:themeFillShade="BF"/>
            <w:vAlign w:val="center"/>
          </w:tcPr>
          <w:p>
            <w:pPr>
              <w:adjustRightInd w:val="0"/>
              <w:snapToGrid w:val="0"/>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tabs>
                <w:tab w:val="left" w:pos="61"/>
              </w:tabs>
              <w:adjustRightInd w:val="0"/>
              <w:snapToGrid w:val="0"/>
              <w:ind w:left="-63"/>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w:t>
            </w: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1677"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754"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c>
          <w:tcPr>
            <w:tcW w:w="446" w:type="pct"/>
            <w:vAlign w:val="center"/>
          </w:tcPr>
          <w:p>
            <w:pPr>
              <w:jc w:val="center"/>
              <w:rPr>
                <w:rFonts w:ascii="宋体" w:hAnsi="宋体" w:eastAsia="宋体" w:cs="仿宋_GB2312"/>
                <w:color w:val="000000" w:themeColor="text1"/>
                <w:sz w:val="24"/>
                <w:szCs w:val="24"/>
                <w:highlight w:val="none"/>
                <w14:textFill>
                  <w14:solidFill>
                    <w14:schemeClr w14:val="tx1"/>
                  </w14:solidFill>
                </w14:textFill>
              </w:rPr>
            </w:pPr>
          </w:p>
        </w:tc>
      </w:tr>
    </w:tbl>
    <w:p>
      <w:pPr>
        <w:ind w:left="708" w:hanging="708" w:hangingChars="294"/>
        <w:jc w:val="left"/>
        <w:rPr>
          <w:rFonts w:ascii="宋体" w:hAnsi="宋体" w:eastAsia="宋体" w:cs="Corbel"/>
          <w:sz w:val="24"/>
          <w:szCs w:val="24"/>
          <w:highlight w:val="none"/>
        </w:rPr>
      </w:pPr>
      <w:r>
        <w:rPr>
          <w:rFonts w:hint="eastAsia" w:ascii="宋体" w:hAnsi="宋体" w:eastAsia="宋体" w:cs="Times New Roman"/>
          <w:b/>
          <w:sz w:val="24"/>
          <w:szCs w:val="24"/>
          <w:highlight w:val="none"/>
        </w:rPr>
        <w:t>说明</w:t>
      </w:r>
      <w:r>
        <w:rPr>
          <w:rFonts w:hint="eastAsia" w:ascii="宋体" w:hAnsi="宋体" w:eastAsia="宋体" w:cs="Corbel"/>
          <w:b/>
          <w:sz w:val="24"/>
          <w:szCs w:val="24"/>
          <w:highlight w:val="none"/>
        </w:rPr>
        <w:t>：</w:t>
      </w:r>
      <w:r>
        <w:rPr>
          <w:rFonts w:hint="eastAsia" w:ascii="宋体" w:hAnsi="宋体" w:eastAsia="宋体" w:cs="Corbel"/>
          <w:sz w:val="24"/>
          <w:szCs w:val="24"/>
          <w:highlight w:val="none"/>
        </w:rPr>
        <w:t>磋商文件的商务要求包括但不限定于供应商的资格要求、采购预算、合同履行期限、交货（或服务）地点、联合体要求、磋商有效期、响应文件份数、响应文件递交截止时间及地点、开标时间及地点，以及磋商文件第三章“项目需求书”中商务要求内容（如有）。</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pStyle w:val="4"/>
        <w:jc w:val="center"/>
        <w:rPr>
          <w:sz w:val="36"/>
          <w:szCs w:val="36"/>
          <w:highlight w:val="none"/>
        </w:rPr>
      </w:pPr>
      <w:r>
        <w:rPr>
          <w:rFonts w:cs="Times New Roman" w:asciiTheme="majorEastAsia" w:hAnsiTheme="majorEastAsia"/>
          <w:bCs w:val="0"/>
          <w:color w:val="000000" w:themeColor="text1"/>
          <w:highlight w:val="none"/>
          <w14:textFill>
            <w14:solidFill>
              <w14:schemeClr w14:val="tx1"/>
            </w14:solidFill>
          </w14:textFill>
        </w:rPr>
        <w:br w:type="page"/>
      </w:r>
      <w:bookmarkStart w:id="179" w:name="_Toc528249459"/>
      <w:bookmarkStart w:id="180" w:name="_Toc65158818"/>
      <w:bookmarkStart w:id="181" w:name="_Toc27731291"/>
      <w:bookmarkStart w:id="182" w:name="_Toc20134252"/>
      <w:bookmarkStart w:id="183" w:name="_Toc19885672"/>
      <w:bookmarkStart w:id="184" w:name="_Toc26947389"/>
      <w:r>
        <w:rPr>
          <w:rFonts w:hint="eastAsia"/>
          <w:sz w:val="36"/>
          <w:szCs w:val="36"/>
          <w:highlight w:val="none"/>
        </w:rPr>
        <w:t>技术响应偏离表</w:t>
      </w:r>
      <w:bookmarkEnd w:id="179"/>
      <w:bookmarkEnd w:id="180"/>
      <w:bookmarkEnd w:id="181"/>
      <w:bookmarkEnd w:id="182"/>
      <w:bookmarkEnd w:id="183"/>
      <w:bookmarkEnd w:id="184"/>
    </w:p>
    <w:p>
      <w:pPr>
        <w:adjustRightInd w:val="0"/>
        <w:snapToGrid w:val="0"/>
        <w:spacing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w:t>
      </w:r>
    </w:p>
    <w:p>
      <w:pPr>
        <w:adjustRightInd w:val="0"/>
        <w:snapToGrid w:val="0"/>
        <w:spacing w:line="360" w:lineRule="auto"/>
        <w:rPr>
          <w:rFonts w:ascii="宋体" w:hAnsi="宋体" w:eastAsia="宋体" w:cs="Times New Roman"/>
          <w:color w:val="000000" w:themeColor="text1"/>
          <w:sz w:val="24"/>
          <w:szCs w:val="21"/>
          <w:highlight w:val="none"/>
          <w14:textFill>
            <w14:solidFill>
              <w14:schemeClr w14:val="tx1"/>
            </w14:solidFill>
          </w14:textFill>
        </w:rPr>
      </w:pPr>
      <w:r>
        <w:rPr>
          <w:rFonts w:hint="eastAsia" w:ascii="宋体" w:hAnsi="宋体" w:eastAsia="宋体" w:cs="Times New Roman"/>
          <w:color w:val="000000" w:themeColor="text1"/>
          <w:sz w:val="24"/>
          <w:szCs w:val="21"/>
          <w:highlight w:val="none"/>
          <w14:textFill>
            <w14:solidFill>
              <w14:schemeClr w14:val="tx1"/>
            </w14:solidFill>
          </w14:textFill>
        </w:rPr>
        <w:t>项目编号：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r>
        <w:rPr>
          <w:rFonts w:hint="eastAsia" w:ascii="宋体" w:hAnsi="宋体"/>
          <w:color w:val="000000" w:themeColor="text1"/>
          <w:sz w:val="24"/>
          <w:highlight w:val="none"/>
          <w:u w:val="single"/>
          <w14:textFill>
            <w14:solidFill>
              <w14:schemeClr w14:val="tx1"/>
            </w14:solidFill>
          </w14:textFill>
        </w:rPr>
        <w:t>　　　</w:t>
      </w:r>
      <w:r>
        <w:rPr>
          <w:rFonts w:hint="eastAsia" w:ascii="宋体" w:hAnsi="宋体"/>
          <w:color w:val="000000" w:themeColor="text1"/>
          <w:sz w:val="24"/>
          <w:highlight w:val="none"/>
          <w14:textFill>
            <w14:solidFill>
              <w14:schemeClr w14:val="tx1"/>
            </w14:solidFill>
          </w14:textFill>
        </w:rPr>
        <w:t>　　　　　</w:t>
      </w:r>
      <w:r>
        <w:rPr>
          <w:rFonts w:hint="eastAsia" w:ascii="宋体" w:hAnsi="宋体" w:eastAsia="宋体" w:cs="Times New Roman"/>
          <w:color w:val="000000" w:themeColor="text1"/>
          <w:sz w:val="24"/>
          <w:szCs w:val="21"/>
          <w:highlight w:val="none"/>
          <w14:textFill>
            <w14:solidFill>
              <w14:schemeClr w14:val="tx1"/>
            </w14:solidFill>
          </w14:textFill>
        </w:rPr>
        <w:t>项目包号：</w:t>
      </w:r>
      <w:r>
        <w:rPr>
          <w:rFonts w:hint="eastAsia" w:ascii="宋体" w:hAnsi="宋体" w:eastAsia="宋体" w:cs="Times New Roman"/>
          <w:color w:val="000000" w:themeColor="text1"/>
          <w:sz w:val="24"/>
          <w:szCs w:val="21"/>
          <w:highlight w:val="none"/>
          <w:u w:val="single"/>
          <w14:textFill>
            <w14:solidFill>
              <w14:schemeClr w14:val="tx1"/>
            </w14:solidFill>
          </w14:textFill>
        </w:rPr>
        <w:t>　　　　　　　　</w:t>
      </w:r>
    </w:p>
    <w:tbl>
      <w:tblPr>
        <w:tblStyle w:val="32"/>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13"/>
        <w:gridCol w:w="3058"/>
        <w:gridCol w:w="3058"/>
        <w:gridCol w:w="1375"/>
        <w:gridCol w:w="8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46"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序号</w:t>
            </w:r>
          </w:p>
        </w:tc>
        <w:tc>
          <w:tcPr>
            <w:tcW w:w="1677"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磋商文件技术要求条款</w:t>
            </w:r>
          </w:p>
        </w:tc>
        <w:tc>
          <w:tcPr>
            <w:tcW w:w="1677"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响应文件技术响应内容</w:t>
            </w:r>
          </w:p>
        </w:tc>
        <w:tc>
          <w:tcPr>
            <w:tcW w:w="754"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偏离说明</w:t>
            </w:r>
          </w:p>
        </w:tc>
        <w:tc>
          <w:tcPr>
            <w:tcW w:w="446" w:type="pct"/>
            <w:shd w:val="clear" w:color="auto" w:fill="BEBEBE" w:themeFill="background1" w:themeFillShade="BF"/>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备注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1</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2</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3</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4</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5</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6</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r>
              <w:rPr>
                <w:rFonts w:hint="eastAsia" w:asciiTheme="minorEastAsia" w:hAnsiTheme="minorEastAsia"/>
                <w:color w:val="000000" w:themeColor="text1"/>
                <w:sz w:val="24"/>
                <w:szCs w:val="24"/>
                <w:highlight w:val="none"/>
                <w14:textFill>
                  <w14:solidFill>
                    <w14:schemeClr w14:val="tx1"/>
                  </w14:solidFill>
                </w14:textFill>
              </w:rPr>
              <w:t>…</w:t>
            </w: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1677"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754"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c>
          <w:tcPr>
            <w:tcW w:w="446" w:type="pct"/>
            <w:vAlign w:val="center"/>
          </w:tcPr>
          <w:p>
            <w:pPr>
              <w:jc w:val="center"/>
              <w:rPr>
                <w:rFonts w:asciiTheme="minorEastAsia" w:hAnsiTheme="minorEastAsia"/>
                <w:color w:val="000000" w:themeColor="text1"/>
                <w:sz w:val="24"/>
                <w:szCs w:val="24"/>
                <w:highlight w:val="none"/>
                <w14:textFill>
                  <w14:solidFill>
                    <w14:schemeClr w14:val="tx1"/>
                  </w14:solidFill>
                </w14:textFill>
              </w:rPr>
            </w:pPr>
          </w:p>
        </w:tc>
      </w:tr>
    </w:tbl>
    <w:p>
      <w:pPr>
        <w:spacing w:line="360" w:lineRule="auto"/>
        <w:jc w:val="left"/>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Corbel"/>
          <w:b/>
          <w:color w:val="000000" w:themeColor="text1"/>
          <w:sz w:val="24"/>
          <w:szCs w:val="24"/>
          <w:highlight w:val="none"/>
          <w14:textFill>
            <w14:solidFill>
              <w14:schemeClr w14:val="tx1"/>
            </w14:solidFill>
          </w14:textFill>
        </w:rPr>
        <w:t>说明：</w:t>
      </w:r>
      <w:r>
        <w:rPr>
          <w:rFonts w:hint="eastAsia" w:ascii="宋体" w:hAnsi="宋体" w:eastAsia="宋体" w:cs="Corbel"/>
          <w:color w:val="000000" w:themeColor="text1"/>
          <w:sz w:val="24"/>
          <w:szCs w:val="24"/>
          <w:highlight w:val="none"/>
          <w14:textFill>
            <w14:solidFill>
              <w14:schemeClr w14:val="tx1"/>
            </w14:solidFill>
          </w14:textFill>
        </w:rPr>
        <w:t>供应商应按磋商文件第三章“项目需求书”中技术要求条款逐项说明是否满足要求，如有偏离，供应商应详细说明。未按照要求填写此表或仅注明“符合”、“满足”的，</w:t>
      </w:r>
      <w:r>
        <w:rPr>
          <w:rFonts w:hint="eastAsia" w:ascii="宋体" w:hAnsi="宋体" w:eastAsia="宋体" w:cs="Times New Roman"/>
          <w:color w:val="000000" w:themeColor="text1"/>
          <w:sz w:val="24"/>
          <w:szCs w:val="24"/>
          <w:highlight w:val="none"/>
          <w14:textFill>
            <w14:solidFill>
              <w14:schemeClr w14:val="tx1"/>
            </w14:solidFill>
          </w14:textFill>
        </w:rPr>
        <w:t>导致的后果由供应商自行承担。</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cstheme="majorBidi"/>
          <w:bCs/>
          <w:sz w:val="30"/>
          <w:szCs w:val="32"/>
          <w:highlight w:val="none"/>
        </w:rPr>
      </w:pPr>
      <w:r>
        <w:rPr>
          <w:highlight w:val="none"/>
        </w:rPr>
        <w:br w:type="page"/>
      </w:r>
    </w:p>
    <w:p>
      <w:pPr>
        <w:pStyle w:val="4"/>
        <w:jc w:val="center"/>
        <w:rPr>
          <w:sz w:val="36"/>
          <w:szCs w:val="36"/>
          <w:highlight w:val="none"/>
        </w:rPr>
      </w:pPr>
      <w:bookmarkStart w:id="185" w:name="_Toc26947390"/>
      <w:bookmarkStart w:id="186" w:name="_Toc27731292"/>
      <w:bookmarkStart w:id="187" w:name="_Toc65158819"/>
      <w:r>
        <w:rPr>
          <w:rFonts w:hint="eastAsia"/>
          <w:sz w:val="36"/>
          <w:szCs w:val="36"/>
          <w:highlight w:val="none"/>
        </w:rPr>
        <w:t>商务</w:t>
      </w:r>
      <w:bookmarkEnd w:id="174"/>
      <w:bookmarkEnd w:id="175"/>
      <w:bookmarkEnd w:id="176"/>
      <w:r>
        <w:rPr>
          <w:rFonts w:hint="eastAsia"/>
          <w:sz w:val="36"/>
          <w:szCs w:val="36"/>
          <w:highlight w:val="none"/>
        </w:rPr>
        <w:t>证明文件</w:t>
      </w:r>
      <w:bookmarkEnd w:id="177"/>
      <w:bookmarkEnd w:id="178"/>
      <w:bookmarkEnd w:id="185"/>
      <w:bookmarkEnd w:id="186"/>
      <w:bookmarkEnd w:id="187"/>
    </w:p>
    <w:p>
      <w:pPr>
        <w:spacing w:line="360" w:lineRule="auto"/>
        <w:ind w:firstLine="482" w:firstLineChars="200"/>
        <w:rPr>
          <w:rFonts w:ascii="宋体" w:hAnsi="宋体" w:cs="宋体"/>
          <w:b/>
          <w:bCs/>
          <w:color w:val="000000" w:themeColor="text1"/>
          <w:sz w:val="24"/>
          <w:szCs w:val="24"/>
          <w:highlight w:val="none"/>
          <w14:textFill>
            <w14:solidFill>
              <w14:schemeClr w14:val="tx1"/>
            </w14:solidFill>
          </w14:textFill>
        </w:rPr>
      </w:pPr>
      <w:bookmarkStart w:id="188" w:name="_Toc16762665"/>
      <w:bookmarkStart w:id="189" w:name="_Toc15393141"/>
      <w:bookmarkStart w:id="190" w:name="_Toc518044291"/>
      <w:r>
        <w:rPr>
          <w:rFonts w:hint="eastAsia" w:ascii="宋体" w:hAnsi="宋体" w:cs="宋体"/>
          <w:b/>
          <w:bCs/>
          <w:color w:val="000000" w:themeColor="text1"/>
          <w:sz w:val="24"/>
          <w:szCs w:val="24"/>
          <w:highlight w:val="none"/>
          <w14:textFill>
            <w14:solidFill>
              <w14:schemeClr w14:val="tx1"/>
            </w14:solidFill>
          </w14:textFill>
        </w:rPr>
        <w:t>1、资格证明文件</w:t>
      </w:r>
      <w:bookmarkEnd w:id="188"/>
      <w:bookmarkEnd w:id="189"/>
      <w:bookmarkEnd w:id="190"/>
    </w:p>
    <w:p>
      <w:pPr>
        <w:spacing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bookmarkStart w:id="191" w:name="_Hlk64729506"/>
      <w:r>
        <w:rPr>
          <w:rFonts w:hint="eastAsia" w:ascii="宋体" w:hAnsi="宋体" w:eastAsia="宋体" w:cs="宋体"/>
          <w:color w:val="000000" w:themeColor="text1"/>
          <w:sz w:val="24"/>
          <w:szCs w:val="24"/>
          <w:highlight w:val="none"/>
          <w14:textFill>
            <w14:solidFill>
              <w14:schemeClr w14:val="tx1"/>
            </w14:solidFill>
          </w14:textFill>
        </w:rPr>
        <w:t>根据竞争性磋商文件第一章“二、申请人的资格要求”条要求的内容及顺序自行编制提供。</w:t>
      </w:r>
    </w:p>
    <w:bookmarkEnd w:id="191"/>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注：后附“商业信誉承诺函”及“参加政府采购活动前三年内在经营活动中无重大违法记录声明函”格式要求。</w:t>
      </w:r>
    </w:p>
    <w:p>
      <w:pPr>
        <w:rPr>
          <w:highlight w:val="none"/>
        </w:rPr>
      </w:pPr>
    </w:p>
    <w:p>
      <w:pPr>
        <w:rPr>
          <w:highlight w:val="none"/>
        </w:rPr>
      </w:pPr>
    </w:p>
    <w:p>
      <w:pPr>
        <w:rPr>
          <w:highlight w:val="none"/>
        </w:rPr>
      </w:pPr>
    </w:p>
    <w:p>
      <w:pPr>
        <w:spacing w:line="360" w:lineRule="auto"/>
        <w:ind w:firstLine="482" w:firstLineChars="200"/>
        <w:rPr>
          <w:rFonts w:ascii="宋体" w:hAnsi="宋体" w:cs="宋体"/>
          <w:b/>
          <w:bCs/>
          <w:color w:val="000000" w:themeColor="text1"/>
          <w:sz w:val="24"/>
          <w:szCs w:val="24"/>
          <w:highlight w:val="none"/>
          <w14:textFill>
            <w14:solidFill>
              <w14:schemeClr w14:val="tx1"/>
            </w14:solidFill>
          </w14:textFill>
        </w:rPr>
      </w:pPr>
      <w:bookmarkStart w:id="192" w:name="_Toc16762666"/>
      <w:bookmarkStart w:id="193" w:name="_Toc15393142"/>
      <w:bookmarkStart w:id="194" w:name="_Toc518044292"/>
      <w:r>
        <w:rPr>
          <w:rFonts w:hint="eastAsia" w:ascii="宋体" w:hAnsi="宋体" w:cs="宋体"/>
          <w:b/>
          <w:bCs/>
          <w:color w:val="000000" w:themeColor="text1"/>
          <w:sz w:val="24"/>
          <w:szCs w:val="24"/>
          <w:highlight w:val="none"/>
          <w14:textFill>
            <w14:solidFill>
              <w14:schemeClr w14:val="tx1"/>
            </w14:solidFill>
          </w14:textFill>
        </w:rPr>
        <w:t>2、其他商务文件</w:t>
      </w:r>
      <w:bookmarkEnd w:id="192"/>
      <w:bookmarkEnd w:id="193"/>
      <w:bookmarkEnd w:id="194"/>
    </w:p>
    <w:p>
      <w:pPr>
        <w:spacing w:line="360" w:lineRule="auto"/>
        <w:ind w:firstLine="480" w:firstLineChars="200"/>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竞争性磋商文件要求或者供应商认为需要提供的其他相关商务证明文件（复印件加盖公章）。</w:t>
      </w:r>
    </w:p>
    <w:p>
      <w:pPr>
        <w:widowControl/>
        <w:jc w:val="left"/>
        <w:rPr>
          <w:rFonts w:ascii="Times New Roman" w:hAnsi="Times New Roman" w:eastAsia="黑体" w:cs="黑体"/>
          <w:bCs/>
          <w:sz w:val="28"/>
          <w:szCs w:val="28"/>
          <w:highlight w:val="none"/>
        </w:rPr>
      </w:pPr>
      <w:r>
        <w:rPr>
          <w:rFonts w:cs="黑体"/>
          <w:szCs w:val="28"/>
          <w:highlight w:val="none"/>
        </w:rPr>
        <w:br w:type="page"/>
      </w:r>
    </w:p>
    <w:bookmarkEnd w:id="154"/>
    <w:p>
      <w:pPr>
        <w:pStyle w:val="5"/>
        <w:jc w:val="left"/>
        <w:rPr>
          <w:sz w:val="30"/>
          <w:szCs w:val="30"/>
          <w:highlight w:val="none"/>
        </w:rPr>
      </w:pPr>
      <w:bookmarkStart w:id="195" w:name="_Toc65158820"/>
      <w:bookmarkStart w:id="196" w:name="_Toc27731293"/>
      <w:bookmarkStart w:id="197" w:name="_Toc26947391"/>
      <w:bookmarkStart w:id="198" w:name="_Toc21705"/>
      <w:bookmarkStart w:id="199" w:name="_Toc4424"/>
      <w:bookmarkStart w:id="200" w:name="_Toc31222"/>
      <w:r>
        <w:rPr>
          <w:rFonts w:hint="eastAsia"/>
          <w:sz w:val="30"/>
          <w:szCs w:val="30"/>
          <w:highlight w:val="none"/>
        </w:rPr>
        <w:t>商业信誉承诺函</w:t>
      </w:r>
      <w:bookmarkEnd w:id="195"/>
    </w:p>
    <w:p>
      <w:pPr>
        <w:rPr>
          <w:highlight w:val="none"/>
        </w:rPr>
      </w:pPr>
    </w:p>
    <w:p>
      <w:pPr>
        <w:jc w:val="center"/>
        <w:rPr>
          <w:rFonts w:ascii="宋体" w:hAnsi="宋体" w:eastAsia="宋体"/>
          <w:b/>
          <w:sz w:val="30"/>
          <w:szCs w:val="30"/>
          <w:highlight w:val="none"/>
        </w:rPr>
      </w:pPr>
      <w:r>
        <w:rPr>
          <w:rFonts w:hint="eastAsia" w:ascii="宋体" w:hAnsi="宋体" w:eastAsia="宋体"/>
          <w:b/>
          <w:sz w:val="28"/>
          <w:szCs w:val="30"/>
          <w:highlight w:val="none"/>
        </w:rPr>
        <w:t>商业信誉承诺函</w:t>
      </w:r>
    </w:p>
    <w:p>
      <w:pPr>
        <w:rPr>
          <w:highlight w:val="none"/>
        </w:rPr>
      </w:pPr>
    </w:p>
    <w:p>
      <w:pPr>
        <w:spacing w:line="360" w:lineRule="auto"/>
        <w:rPr>
          <w:rFonts w:ascii="宋体" w:hAnsi="宋体"/>
          <w:color w:val="000000"/>
          <w:sz w:val="24"/>
          <w:szCs w:val="24"/>
          <w:highlight w:val="none"/>
        </w:rPr>
      </w:pPr>
      <w:bookmarkStart w:id="201" w:name="_Hlk64708287"/>
      <w:r>
        <w:rPr>
          <w:rFonts w:ascii="宋体" w:hAnsi="宋体"/>
          <w:color w:val="000000"/>
          <w:sz w:val="24"/>
          <w:szCs w:val="24"/>
          <w:highlight w:val="none"/>
          <w:u w:val="single"/>
        </w:rPr>
        <w:t>　　　　　　　　　　　　</w:t>
      </w:r>
      <w:r>
        <w:rPr>
          <w:rFonts w:ascii="宋体" w:hAnsi="宋体"/>
          <w:color w:val="000000"/>
          <w:sz w:val="24"/>
          <w:szCs w:val="24"/>
          <w:highlight w:val="none"/>
        </w:rPr>
        <w:t>（</w:t>
      </w:r>
      <w:r>
        <w:rPr>
          <w:rFonts w:hint="eastAsia" w:ascii="宋体" w:hAnsi="宋体"/>
          <w:color w:val="000000"/>
          <w:sz w:val="24"/>
          <w:szCs w:val="24"/>
          <w:highlight w:val="none"/>
        </w:rPr>
        <w:t>采购人</w:t>
      </w:r>
      <w:r>
        <w:rPr>
          <w:rFonts w:ascii="宋体" w:hAnsi="宋体"/>
          <w:color w:val="000000"/>
          <w:sz w:val="24"/>
          <w:szCs w:val="24"/>
          <w:highlight w:val="none"/>
        </w:rPr>
        <w:t>名称）：</w:t>
      </w:r>
    </w:p>
    <w:bookmarkEnd w:id="201"/>
    <w:p>
      <w:pPr>
        <w:rPr>
          <w:highlight w:val="none"/>
        </w:rPr>
      </w:pPr>
    </w:p>
    <w:p>
      <w:pPr>
        <w:spacing w:line="360" w:lineRule="auto"/>
        <w:ind w:firstLine="480" w:firstLineChars="200"/>
        <w:rPr>
          <w:rFonts w:asciiTheme="minorEastAsia" w:hAnsiTheme="minorEastAsia"/>
          <w:bCs/>
          <w:sz w:val="24"/>
          <w:szCs w:val="24"/>
          <w:highlight w:val="none"/>
        </w:rPr>
      </w:pPr>
      <w:r>
        <w:rPr>
          <w:rFonts w:hint="eastAsia" w:hAnsi="宋体"/>
          <w:color w:val="000000" w:themeColor="text1"/>
          <w:kern w:val="0"/>
          <w:sz w:val="24"/>
          <w:szCs w:val="24"/>
          <w:highlight w:val="none"/>
          <w14:textFill>
            <w14:solidFill>
              <w14:schemeClr w14:val="tx1"/>
            </w14:solidFill>
          </w14:textFill>
        </w:rPr>
        <w:t>依据贵方</w:t>
      </w:r>
      <w:r>
        <w:rPr>
          <w:rFonts w:hint="eastAsia" w:hAnsi="宋体"/>
          <w:color w:val="000000" w:themeColor="text1"/>
          <w:sz w:val="24"/>
          <w:szCs w:val="24"/>
          <w:highlight w:val="none"/>
          <w:u w:val="single"/>
          <w14:textFill>
            <w14:solidFill>
              <w14:schemeClr w14:val="tx1"/>
            </w14:solidFill>
          </w14:textFill>
        </w:rPr>
        <w:t>（项目名称、项目编号、项目包号</w:t>
      </w:r>
      <w:r>
        <w:rPr>
          <w:rFonts w:hint="eastAsia" w:hAnsi="宋体"/>
          <w:color w:val="000000" w:themeColor="text1"/>
          <w:kern w:val="0"/>
          <w:sz w:val="24"/>
          <w:szCs w:val="24"/>
          <w:highlight w:val="none"/>
          <w:u w:val="single"/>
          <w14:textFill>
            <w14:solidFill>
              <w14:schemeClr w14:val="tx1"/>
            </w14:solidFill>
          </w14:textFill>
        </w:rPr>
        <w:t>）</w:t>
      </w:r>
      <w:r>
        <w:rPr>
          <w:rFonts w:hint="eastAsia" w:hAnsi="宋体"/>
          <w:color w:val="000000" w:themeColor="text1"/>
          <w:kern w:val="0"/>
          <w:sz w:val="24"/>
          <w:szCs w:val="24"/>
          <w:highlight w:val="none"/>
          <w14:textFill>
            <w14:solidFill>
              <w14:schemeClr w14:val="tx1"/>
            </w14:solidFill>
          </w14:textFill>
        </w:rPr>
        <w:t>项目的磋商邀请，我方代表</w:t>
      </w:r>
      <w:r>
        <w:rPr>
          <w:rFonts w:hint="eastAsia" w:hAnsi="宋体"/>
          <w:color w:val="000000" w:themeColor="text1"/>
          <w:sz w:val="24"/>
          <w:szCs w:val="24"/>
          <w:highlight w:val="none"/>
          <w:u w:val="single"/>
          <w14:textFill>
            <w14:solidFill>
              <w14:schemeClr w14:val="tx1"/>
            </w14:solidFill>
          </w14:textFill>
        </w:rPr>
        <w:t>（姓名、职务</w:t>
      </w:r>
      <w:r>
        <w:rPr>
          <w:rFonts w:hint="eastAsia" w:hAnsi="宋体"/>
          <w:color w:val="000000" w:themeColor="text1"/>
          <w:kern w:val="0"/>
          <w:sz w:val="24"/>
          <w:szCs w:val="24"/>
          <w:highlight w:val="none"/>
          <w14:textFill>
            <w14:solidFill>
              <w14:schemeClr w14:val="tx1"/>
            </w14:solidFill>
          </w14:textFill>
        </w:rPr>
        <w:t>）经正式授权并代表供应商</w:t>
      </w:r>
      <w:r>
        <w:rPr>
          <w:rFonts w:hint="eastAsia" w:hAnsi="宋体"/>
          <w:color w:val="000000" w:themeColor="text1"/>
          <w:sz w:val="24"/>
          <w:szCs w:val="24"/>
          <w:highlight w:val="none"/>
          <w:u w:val="single"/>
          <w14:textFill>
            <w14:solidFill>
              <w14:schemeClr w14:val="tx1"/>
            </w14:solidFill>
          </w14:textFill>
        </w:rPr>
        <w:t>（供应商全称、地址）</w:t>
      </w:r>
      <w:r>
        <w:rPr>
          <w:rFonts w:hint="eastAsia" w:asciiTheme="minorEastAsia" w:hAnsiTheme="minorEastAsia"/>
          <w:bCs/>
          <w:sz w:val="24"/>
          <w:szCs w:val="24"/>
          <w:highlight w:val="none"/>
        </w:rPr>
        <w:t>在此郑重声明如下：</w:t>
      </w:r>
    </w:p>
    <w:p>
      <w:pPr>
        <w:rPr>
          <w:highlight w:val="none"/>
        </w:rPr>
      </w:pPr>
    </w:p>
    <w:p>
      <w:pPr>
        <w:spacing w:line="360" w:lineRule="auto"/>
        <w:ind w:firstLine="480" w:firstLineChars="200"/>
        <w:rPr>
          <w:rFonts w:ascii="宋体" w:hAnsi="宋体" w:eastAsia="宋体"/>
          <w:sz w:val="24"/>
          <w:szCs w:val="24"/>
          <w:highlight w:val="none"/>
        </w:rPr>
      </w:pPr>
      <w:r>
        <w:rPr>
          <w:rFonts w:ascii="宋体" w:hAnsi="宋体" w:eastAsia="宋体"/>
          <w:sz w:val="24"/>
          <w:szCs w:val="24"/>
          <w:highlight w:val="none"/>
        </w:rPr>
        <w:t>1</w:t>
      </w:r>
      <w:r>
        <w:rPr>
          <w:rFonts w:hint="eastAsia" w:ascii="宋体" w:hAnsi="宋体" w:eastAsia="宋体"/>
          <w:sz w:val="24"/>
          <w:szCs w:val="24"/>
          <w:highlight w:val="none"/>
        </w:rPr>
        <w:t>、我公司未被纳入法院、工商行政管理部门、税务部门、银行认定的失信名单且在有效期内，或者在前三年政府采购合同履约过程中及其他经营活动履约过程中依法履约未被有关行政部门处罚（处理）。</w:t>
      </w:r>
    </w:p>
    <w:p>
      <w:pPr>
        <w:rPr>
          <w:highlight w:val="none"/>
        </w:rPr>
      </w:pPr>
    </w:p>
    <w:p>
      <w:pPr>
        <w:spacing w:line="360" w:lineRule="auto"/>
        <w:ind w:firstLine="480" w:firstLineChars="200"/>
        <w:rPr>
          <w:rFonts w:ascii="宋体" w:hAnsi="宋体" w:eastAsia="宋体"/>
          <w:sz w:val="24"/>
          <w:szCs w:val="24"/>
          <w:highlight w:val="none"/>
        </w:rPr>
      </w:pPr>
      <w:r>
        <w:rPr>
          <w:rFonts w:hint="eastAsia" w:ascii="宋体" w:hAnsi="宋体" w:eastAsia="宋体"/>
          <w:sz w:val="24"/>
          <w:szCs w:val="24"/>
          <w:highlight w:val="none"/>
        </w:rPr>
        <w:t>2、本公司具有良好的商业信誉对上述声明的真实性负责。如有虚假，将依法承担相应责任。</w:t>
      </w:r>
    </w:p>
    <w:p>
      <w:pPr>
        <w:rPr>
          <w:highlight w:val="none"/>
        </w:rPr>
      </w:pPr>
    </w:p>
    <w:p>
      <w:pPr>
        <w:spacing w:line="360" w:lineRule="auto"/>
        <w:ind w:firstLine="480" w:firstLineChars="200"/>
        <w:rPr>
          <w:rFonts w:hAnsi="宋体"/>
          <w:sz w:val="24"/>
          <w:szCs w:val="24"/>
          <w:highlight w:val="none"/>
        </w:rPr>
      </w:pPr>
      <w:r>
        <w:rPr>
          <w:rFonts w:hint="eastAsia" w:hAnsi="宋体"/>
          <w:sz w:val="24"/>
          <w:szCs w:val="24"/>
          <w:highlight w:val="none"/>
        </w:rPr>
        <w:t>特此承诺！</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bCs/>
          <w:sz w:val="30"/>
          <w:szCs w:val="30"/>
          <w:highlight w:val="none"/>
        </w:rPr>
      </w:pPr>
      <w:r>
        <w:rPr>
          <w:sz w:val="30"/>
          <w:szCs w:val="30"/>
          <w:highlight w:val="none"/>
        </w:rPr>
        <w:br w:type="page"/>
      </w:r>
    </w:p>
    <w:p>
      <w:pPr>
        <w:pStyle w:val="5"/>
        <w:jc w:val="left"/>
        <w:rPr>
          <w:sz w:val="30"/>
          <w:szCs w:val="30"/>
          <w:highlight w:val="none"/>
        </w:rPr>
      </w:pPr>
      <w:bookmarkStart w:id="202" w:name="_Toc38457863"/>
      <w:bookmarkStart w:id="203" w:name="_Toc65158821"/>
      <w:bookmarkStart w:id="204" w:name="_Toc2782594"/>
      <w:r>
        <w:rPr>
          <w:rFonts w:hint="eastAsia"/>
          <w:sz w:val="30"/>
          <w:szCs w:val="30"/>
          <w:highlight w:val="none"/>
        </w:rPr>
        <w:t>无重大违法记录声明函</w:t>
      </w:r>
      <w:bookmarkEnd w:id="202"/>
      <w:bookmarkEnd w:id="203"/>
      <w:bookmarkEnd w:id="204"/>
    </w:p>
    <w:p>
      <w:pPr>
        <w:rPr>
          <w:highlight w:val="none"/>
        </w:rPr>
      </w:pPr>
    </w:p>
    <w:p>
      <w:pPr>
        <w:jc w:val="center"/>
        <w:rPr>
          <w:rFonts w:ascii="宋体" w:hAnsi="宋体" w:eastAsia="宋体"/>
          <w:b/>
          <w:sz w:val="30"/>
          <w:szCs w:val="30"/>
          <w:highlight w:val="none"/>
        </w:rPr>
      </w:pPr>
      <w:r>
        <w:rPr>
          <w:rFonts w:hint="eastAsia" w:ascii="宋体" w:hAnsi="宋体" w:eastAsia="宋体"/>
          <w:b/>
          <w:sz w:val="28"/>
          <w:szCs w:val="30"/>
          <w:highlight w:val="none"/>
        </w:rPr>
        <w:t>参加政府采购活动前三年内在经营活动中无重大违法记录声明函</w:t>
      </w:r>
    </w:p>
    <w:p>
      <w:pPr>
        <w:rPr>
          <w:highlight w:val="none"/>
        </w:rPr>
      </w:pPr>
    </w:p>
    <w:p>
      <w:pPr>
        <w:spacing w:line="360" w:lineRule="auto"/>
        <w:rPr>
          <w:rFonts w:ascii="宋体" w:hAnsi="宋体"/>
          <w:color w:val="000000"/>
          <w:sz w:val="24"/>
          <w:szCs w:val="24"/>
          <w:highlight w:val="none"/>
        </w:rPr>
      </w:pPr>
      <w:r>
        <w:rPr>
          <w:rFonts w:ascii="宋体" w:hAnsi="宋体"/>
          <w:color w:val="000000"/>
          <w:sz w:val="24"/>
          <w:szCs w:val="24"/>
          <w:highlight w:val="none"/>
          <w:u w:val="single"/>
        </w:rPr>
        <w:t>　　　　　　　　　　　　</w:t>
      </w:r>
      <w:r>
        <w:rPr>
          <w:rFonts w:ascii="宋体" w:hAnsi="宋体"/>
          <w:color w:val="000000"/>
          <w:sz w:val="24"/>
          <w:szCs w:val="24"/>
          <w:highlight w:val="none"/>
        </w:rPr>
        <w:t>（</w:t>
      </w:r>
      <w:r>
        <w:rPr>
          <w:rFonts w:hint="eastAsia" w:ascii="宋体" w:hAnsi="宋体"/>
          <w:color w:val="000000"/>
          <w:sz w:val="24"/>
          <w:szCs w:val="24"/>
          <w:highlight w:val="none"/>
        </w:rPr>
        <w:t>采购人</w:t>
      </w:r>
      <w:r>
        <w:rPr>
          <w:rFonts w:ascii="宋体" w:hAnsi="宋体"/>
          <w:color w:val="000000"/>
          <w:sz w:val="24"/>
          <w:szCs w:val="24"/>
          <w:highlight w:val="none"/>
        </w:rPr>
        <w:t>名称）：</w:t>
      </w:r>
    </w:p>
    <w:p>
      <w:pPr>
        <w:rPr>
          <w:highlight w:val="none"/>
        </w:rPr>
      </w:pPr>
    </w:p>
    <w:p>
      <w:pPr>
        <w:spacing w:line="360" w:lineRule="auto"/>
        <w:ind w:firstLine="480" w:firstLineChars="200"/>
        <w:rPr>
          <w:rFonts w:asciiTheme="minorEastAsia" w:hAnsiTheme="minorEastAsia"/>
          <w:bCs/>
          <w:sz w:val="24"/>
          <w:szCs w:val="24"/>
          <w:highlight w:val="none"/>
        </w:rPr>
      </w:pPr>
      <w:r>
        <w:rPr>
          <w:rFonts w:hint="eastAsia" w:hAnsi="宋体"/>
          <w:color w:val="000000" w:themeColor="text1"/>
          <w:kern w:val="0"/>
          <w:sz w:val="24"/>
          <w:szCs w:val="24"/>
          <w:highlight w:val="none"/>
          <w14:textFill>
            <w14:solidFill>
              <w14:schemeClr w14:val="tx1"/>
            </w14:solidFill>
          </w14:textFill>
        </w:rPr>
        <w:t>依据贵方</w:t>
      </w:r>
      <w:r>
        <w:rPr>
          <w:rFonts w:hint="eastAsia" w:hAnsi="宋体"/>
          <w:color w:val="000000" w:themeColor="text1"/>
          <w:sz w:val="24"/>
          <w:szCs w:val="24"/>
          <w:highlight w:val="none"/>
          <w:u w:val="single"/>
          <w14:textFill>
            <w14:solidFill>
              <w14:schemeClr w14:val="tx1"/>
            </w14:solidFill>
          </w14:textFill>
        </w:rPr>
        <w:t>（项目名称、项目编号、项目包号</w:t>
      </w:r>
      <w:r>
        <w:rPr>
          <w:rFonts w:hint="eastAsia" w:hAnsi="宋体"/>
          <w:color w:val="000000" w:themeColor="text1"/>
          <w:kern w:val="0"/>
          <w:sz w:val="24"/>
          <w:szCs w:val="24"/>
          <w:highlight w:val="none"/>
          <w:u w:val="single"/>
          <w14:textFill>
            <w14:solidFill>
              <w14:schemeClr w14:val="tx1"/>
            </w14:solidFill>
          </w14:textFill>
        </w:rPr>
        <w:t>）</w:t>
      </w:r>
      <w:r>
        <w:rPr>
          <w:rFonts w:hint="eastAsia" w:hAnsi="宋体"/>
          <w:color w:val="000000" w:themeColor="text1"/>
          <w:kern w:val="0"/>
          <w:sz w:val="24"/>
          <w:szCs w:val="24"/>
          <w:highlight w:val="none"/>
          <w14:textFill>
            <w14:solidFill>
              <w14:schemeClr w14:val="tx1"/>
            </w14:solidFill>
          </w14:textFill>
        </w:rPr>
        <w:t>项目的磋商邀请，我方代表</w:t>
      </w:r>
      <w:r>
        <w:rPr>
          <w:rFonts w:hint="eastAsia" w:hAnsi="宋体"/>
          <w:color w:val="000000" w:themeColor="text1"/>
          <w:sz w:val="24"/>
          <w:szCs w:val="24"/>
          <w:highlight w:val="none"/>
          <w:u w:val="single"/>
          <w14:textFill>
            <w14:solidFill>
              <w14:schemeClr w14:val="tx1"/>
            </w14:solidFill>
          </w14:textFill>
        </w:rPr>
        <w:t>（姓名、职务</w:t>
      </w:r>
      <w:r>
        <w:rPr>
          <w:rFonts w:hint="eastAsia" w:hAnsi="宋体"/>
          <w:color w:val="000000" w:themeColor="text1"/>
          <w:kern w:val="0"/>
          <w:sz w:val="24"/>
          <w:szCs w:val="24"/>
          <w:highlight w:val="none"/>
          <w14:textFill>
            <w14:solidFill>
              <w14:schemeClr w14:val="tx1"/>
            </w14:solidFill>
          </w14:textFill>
        </w:rPr>
        <w:t>）经正式授权并代表供应商</w:t>
      </w:r>
      <w:r>
        <w:rPr>
          <w:rFonts w:hint="eastAsia" w:hAnsi="宋体"/>
          <w:color w:val="000000" w:themeColor="text1"/>
          <w:sz w:val="24"/>
          <w:szCs w:val="24"/>
          <w:highlight w:val="none"/>
          <w:u w:val="single"/>
          <w14:textFill>
            <w14:solidFill>
              <w14:schemeClr w14:val="tx1"/>
            </w14:solidFill>
          </w14:textFill>
        </w:rPr>
        <w:t>（供应商全称、地址）</w:t>
      </w:r>
      <w:r>
        <w:rPr>
          <w:rFonts w:hint="eastAsia" w:asciiTheme="minorEastAsia" w:hAnsiTheme="minorEastAsia"/>
          <w:bCs/>
          <w:sz w:val="24"/>
          <w:szCs w:val="24"/>
          <w:highlight w:val="none"/>
        </w:rPr>
        <w:t>在此郑重声明如下：</w:t>
      </w:r>
    </w:p>
    <w:p>
      <w:pPr>
        <w:rPr>
          <w:highlight w:val="none"/>
        </w:rPr>
      </w:pPr>
    </w:p>
    <w:p>
      <w:pPr>
        <w:pStyle w:val="50"/>
        <w:numPr>
          <w:ilvl w:val="1"/>
          <w:numId w:val="25"/>
        </w:numPr>
        <w:tabs>
          <w:tab w:val="left" w:pos="854"/>
        </w:tabs>
        <w:spacing w:line="360" w:lineRule="auto"/>
        <w:ind w:left="11" w:firstLine="480"/>
        <w:rPr>
          <w:rFonts w:asciiTheme="minorEastAsia" w:hAnsiTheme="minorEastAsia"/>
          <w:bCs/>
          <w:sz w:val="24"/>
          <w:szCs w:val="24"/>
          <w:highlight w:val="none"/>
        </w:rPr>
      </w:pPr>
      <w:r>
        <w:rPr>
          <w:rFonts w:hint="eastAsia" w:asciiTheme="minorEastAsia" w:hAnsiTheme="minorEastAsia"/>
          <w:bCs/>
          <w:sz w:val="24"/>
          <w:szCs w:val="24"/>
          <w:highlight w:val="none"/>
        </w:rPr>
        <w:t>参加本项目政府采购活动前三年内，本单位未因违法经营受到刑事处罚或者责令停产停业、吊销许可证或者执照、较大数额罚款（根据各地方、各部门明确的听证范围确定较大数额罚款的额度）等行政处罚；</w:t>
      </w:r>
    </w:p>
    <w:p>
      <w:pPr>
        <w:pStyle w:val="50"/>
        <w:numPr>
          <w:ilvl w:val="1"/>
          <w:numId w:val="25"/>
        </w:numPr>
        <w:tabs>
          <w:tab w:val="left" w:pos="854"/>
        </w:tabs>
        <w:spacing w:line="360" w:lineRule="auto"/>
        <w:ind w:left="11" w:firstLine="480"/>
        <w:rPr>
          <w:rFonts w:asciiTheme="minorEastAsia" w:hAnsiTheme="minorEastAsia"/>
          <w:bCs/>
          <w:sz w:val="24"/>
          <w:szCs w:val="24"/>
          <w:highlight w:val="none"/>
        </w:rPr>
      </w:pPr>
      <w:r>
        <w:rPr>
          <w:rFonts w:hint="eastAsia" w:asciiTheme="minorEastAsia" w:hAnsiTheme="minorEastAsia"/>
          <w:bCs/>
          <w:sz w:val="24"/>
          <w:szCs w:val="24"/>
          <w:highlight w:val="none"/>
        </w:rPr>
        <w:t>参加本项目政府采购活动前三年内，本单位未受到过全国</w:t>
      </w:r>
      <w:r>
        <w:rPr>
          <w:rFonts w:asciiTheme="minorEastAsia" w:hAnsiTheme="minorEastAsia"/>
          <w:bCs/>
          <w:sz w:val="24"/>
          <w:szCs w:val="24"/>
          <w:highlight w:val="none"/>
        </w:rPr>
        <w:t>各级人民政府财政部门依法</w:t>
      </w:r>
      <w:r>
        <w:rPr>
          <w:rFonts w:hint="eastAsia" w:asciiTheme="minorEastAsia" w:hAnsiTheme="minorEastAsia"/>
          <w:bCs/>
          <w:sz w:val="24"/>
          <w:szCs w:val="24"/>
          <w:highlight w:val="none"/>
        </w:rPr>
        <w:t>作</w:t>
      </w:r>
      <w:r>
        <w:rPr>
          <w:rFonts w:asciiTheme="minorEastAsia" w:hAnsiTheme="minorEastAsia"/>
          <w:bCs/>
          <w:sz w:val="24"/>
          <w:szCs w:val="24"/>
          <w:highlight w:val="none"/>
        </w:rPr>
        <w:t>出的禁止参加政府采购活动等行政处罚决定</w:t>
      </w:r>
      <w:r>
        <w:rPr>
          <w:rFonts w:hint="eastAsia" w:asciiTheme="minorEastAsia" w:hAnsiTheme="minorEastAsia"/>
          <w:bCs/>
          <w:sz w:val="24"/>
          <w:szCs w:val="24"/>
          <w:highlight w:val="none"/>
        </w:rPr>
        <w:t>；</w:t>
      </w:r>
    </w:p>
    <w:p>
      <w:pPr>
        <w:pStyle w:val="50"/>
        <w:numPr>
          <w:ilvl w:val="1"/>
          <w:numId w:val="25"/>
        </w:numPr>
        <w:tabs>
          <w:tab w:val="left" w:pos="854"/>
        </w:tabs>
        <w:spacing w:line="360" w:lineRule="auto"/>
        <w:ind w:left="11" w:firstLine="480"/>
        <w:rPr>
          <w:rFonts w:asciiTheme="minorEastAsia" w:hAnsiTheme="minorEastAsia"/>
          <w:bCs/>
          <w:sz w:val="24"/>
          <w:szCs w:val="24"/>
          <w:highlight w:val="none"/>
        </w:rPr>
      </w:pPr>
      <w:r>
        <w:rPr>
          <w:rFonts w:hint="eastAsia" w:asciiTheme="minorEastAsia" w:hAnsiTheme="minorEastAsia"/>
          <w:bCs/>
          <w:sz w:val="24"/>
          <w:szCs w:val="24"/>
          <w:highlight w:val="none"/>
        </w:rPr>
        <w:t>如上述声明内容不实，本单位自愿接受政府采购监管部门按照《中华人民共和国政府采购法》关于提供虚假材料的规定给予处罚。</w:t>
      </w:r>
    </w:p>
    <w:p>
      <w:pPr>
        <w:rPr>
          <w:highlight w:val="none"/>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spacing w:line="480" w:lineRule="auto"/>
        <w:ind w:firstLine="2640" w:firstLineChars="11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供应商：</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（公章）</w:t>
      </w:r>
    </w:p>
    <w:p>
      <w:pPr>
        <w:spacing w:line="480" w:lineRule="auto"/>
        <w:ind w:firstLine="2640" w:firstLineChars="11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法定代表人或其委托代理人：</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（签字或盖章）</w:t>
      </w:r>
    </w:p>
    <w:p>
      <w:pPr>
        <w:spacing w:line="480" w:lineRule="auto"/>
        <w:ind w:firstLine="2640" w:firstLineChars="1100"/>
        <w:rPr>
          <w:highlight w:val="none"/>
        </w:rPr>
      </w:pPr>
      <w:r>
        <w:rPr>
          <w:rFonts w:hint="eastAsia" w:ascii="宋体" w:hAnsi="宋体" w:eastAsia="宋体"/>
          <w:color w:val="000000" w:themeColor="text1"/>
          <w:sz w:val="24"/>
          <w:highlight w:val="none"/>
          <w14:textFill>
            <w14:solidFill>
              <w14:schemeClr w14:val="tx1"/>
            </w14:solidFill>
          </w14:textFill>
        </w:rPr>
        <w:t>日期：</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年</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月</w:t>
      </w:r>
      <w:r>
        <w:rPr>
          <w:rFonts w:hint="eastAsia" w:ascii="宋体" w:hAnsi="宋体" w:eastAsia="宋体"/>
          <w:color w:val="000000" w:themeColor="text1"/>
          <w:sz w:val="24"/>
          <w:highlight w:val="none"/>
          <w:u w:val="single"/>
          <w14:textFill>
            <w14:solidFill>
              <w14:schemeClr w14:val="tx1"/>
            </w14:solidFill>
          </w14:textFill>
        </w:rPr>
        <w:t>　　</w:t>
      </w:r>
      <w:r>
        <w:rPr>
          <w:rFonts w:hint="eastAsia" w:ascii="宋体" w:hAnsi="宋体" w:eastAsia="宋体"/>
          <w:color w:val="000000" w:themeColor="text1"/>
          <w:sz w:val="24"/>
          <w:highlight w:val="none"/>
          <w14:textFill>
            <w14:solidFill>
              <w14:schemeClr w14:val="tx1"/>
            </w14:solidFill>
          </w14:textFill>
        </w:rPr>
        <w:t>日</w:t>
      </w:r>
    </w:p>
    <w:p>
      <w:pPr>
        <w:widowControl/>
        <w:jc w:val="left"/>
        <w:rPr>
          <w:rFonts w:ascii="Times New Roman" w:hAnsi="Times New Roman" w:eastAsia="黑体"/>
          <w:bCs/>
          <w:sz w:val="30"/>
          <w:szCs w:val="30"/>
          <w:highlight w:val="none"/>
        </w:rPr>
      </w:pPr>
      <w:r>
        <w:rPr>
          <w:sz w:val="30"/>
          <w:szCs w:val="30"/>
          <w:highlight w:val="none"/>
        </w:rPr>
        <w:br w:type="page"/>
      </w:r>
    </w:p>
    <w:p>
      <w:pPr>
        <w:pStyle w:val="5"/>
        <w:jc w:val="center"/>
        <w:rPr>
          <w:sz w:val="30"/>
          <w:szCs w:val="30"/>
          <w:highlight w:val="none"/>
        </w:rPr>
      </w:pPr>
      <w:bookmarkStart w:id="205" w:name="_Toc65158822"/>
      <w:r>
        <w:rPr>
          <w:rFonts w:hint="eastAsia"/>
          <w:sz w:val="30"/>
          <w:szCs w:val="30"/>
          <w:highlight w:val="none"/>
        </w:rPr>
        <w:t>非联合体磋商声明函</w:t>
      </w:r>
      <w:bookmarkEnd w:id="205"/>
    </w:p>
    <w:p>
      <w:pPr>
        <w:rPr>
          <w:highlight w:val="none"/>
        </w:rPr>
      </w:pPr>
    </w:p>
    <w:p>
      <w:pPr>
        <w:spacing w:line="360" w:lineRule="auto"/>
        <w:rPr>
          <w:rFonts w:ascii="宋体" w:hAnsi="宋体" w:eastAsia="宋体" w:cs="Times New Roman"/>
          <w:b/>
          <w:sz w:val="24"/>
          <w:szCs w:val="24"/>
          <w:highlight w:val="none"/>
        </w:rPr>
      </w:pPr>
      <w:r>
        <w:rPr>
          <w:rFonts w:hint="eastAsia" w:ascii="宋体" w:hAnsi="宋体" w:eastAsia="宋体" w:cs="Times New Roman"/>
          <w:b/>
          <w:sz w:val="24"/>
          <w:szCs w:val="24"/>
          <w:highlight w:val="none"/>
          <w:u w:val="single"/>
        </w:rPr>
        <w:t>　　　　　　　　</w:t>
      </w:r>
      <w:r>
        <w:rPr>
          <w:rFonts w:hint="eastAsia" w:ascii="宋体" w:hAnsi="宋体" w:eastAsia="宋体" w:cs="Times New Roman"/>
          <w:b/>
          <w:sz w:val="24"/>
          <w:szCs w:val="24"/>
          <w:highlight w:val="none"/>
        </w:rPr>
        <w:t>（采购人名称）：</w:t>
      </w:r>
    </w:p>
    <w:p>
      <w:pPr>
        <w:rPr>
          <w:highlight w:val="none"/>
        </w:rPr>
      </w:pPr>
    </w:p>
    <w:p>
      <w:pPr>
        <w:spacing w:line="360" w:lineRule="auto"/>
        <w:ind w:firstLine="480" w:firstLineChars="200"/>
        <w:rPr>
          <w:rFonts w:asciiTheme="minorEastAsia"/>
          <w:sz w:val="24"/>
          <w:szCs w:val="24"/>
          <w:highlight w:val="none"/>
        </w:rPr>
      </w:pPr>
      <w:r>
        <w:rPr>
          <w:rFonts w:hint="eastAsia" w:asciiTheme="minorEastAsia" w:hAnsiTheme="minorEastAsia"/>
          <w:sz w:val="24"/>
          <w:szCs w:val="24"/>
          <w:highlight w:val="none"/>
        </w:rPr>
        <w:t>我方已仔细研究了贵单位组织实施的</w:t>
      </w:r>
      <w:r>
        <w:rPr>
          <w:rFonts w:ascii="宋体" w:hAnsi="宋体"/>
          <w:color w:val="000000"/>
          <w:kern w:val="0"/>
          <w:sz w:val="24"/>
          <w:highlight w:val="none"/>
          <w:u w:val="single"/>
        </w:rPr>
        <w:t>（项目名称</w:t>
      </w:r>
      <w:r>
        <w:rPr>
          <w:rFonts w:hint="eastAsia" w:ascii="宋体" w:hAnsi="宋体"/>
          <w:color w:val="000000"/>
          <w:sz w:val="24"/>
          <w:highlight w:val="none"/>
          <w:u w:val="single"/>
        </w:rPr>
        <w:t>、</w:t>
      </w:r>
      <w:r>
        <w:rPr>
          <w:rFonts w:ascii="宋体" w:hAnsi="宋体"/>
          <w:color w:val="000000"/>
          <w:kern w:val="0"/>
          <w:sz w:val="24"/>
          <w:highlight w:val="none"/>
          <w:u w:val="single"/>
        </w:rPr>
        <w:t>项目编号</w:t>
      </w:r>
      <w:r>
        <w:rPr>
          <w:rFonts w:hint="eastAsia" w:hAnsi="宋体"/>
          <w:color w:val="000000" w:themeColor="text1"/>
          <w:sz w:val="24"/>
          <w:szCs w:val="24"/>
          <w:highlight w:val="none"/>
          <w:u w:val="single"/>
          <w14:textFill>
            <w14:solidFill>
              <w14:schemeClr w14:val="tx1"/>
            </w14:solidFill>
          </w14:textFill>
        </w:rPr>
        <w:t>、项目包号</w:t>
      </w:r>
      <w:r>
        <w:rPr>
          <w:rFonts w:ascii="宋体" w:hAnsi="宋体"/>
          <w:color w:val="000000"/>
          <w:kern w:val="0"/>
          <w:sz w:val="24"/>
          <w:highlight w:val="none"/>
          <w:u w:val="single"/>
        </w:rPr>
        <w:t>）</w:t>
      </w:r>
      <w:r>
        <w:rPr>
          <w:rFonts w:hint="eastAsia" w:asciiTheme="minorEastAsia" w:hAnsiTheme="minorEastAsia"/>
          <w:sz w:val="24"/>
          <w:szCs w:val="24"/>
          <w:highlight w:val="none"/>
        </w:rPr>
        <w:t>竞争性谈判文件的全部内容（含更正文件，如有），在此就本项目响应主体做如下声明：</w:t>
      </w:r>
    </w:p>
    <w:p>
      <w:pPr>
        <w:spacing w:line="360" w:lineRule="auto"/>
        <w:rPr>
          <w:sz w:val="24"/>
          <w:szCs w:val="24"/>
          <w:highlight w:val="none"/>
        </w:rPr>
      </w:pPr>
    </w:p>
    <w:p>
      <w:pPr>
        <w:spacing w:line="360" w:lineRule="auto"/>
        <w:ind w:firstLine="480" w:firstLineChars="200"/>
        <w:rPr>
          <w:rFonts w:asciiTheme="minorEastAsia"/>
          <w:sz w:val="24"/>
          <w:szCs w:val="24"/>
          <w:highlight w:val="none"/>
        </w:rPr>
      </w:pPr>
      <w:r>
        <w:rPr>
          <w:rFonts w:hint="eastAsia" w:asciiTheme="minorEastAsia" w:hAnsiTheme="minorEastAsia"/>
          <w:sz w:val="24"/>
          <w:szCs w:val="24"/>
          <w:highlight w:val="none"/>
        </w:rPr>
        <w:t>我公司以独立供应商的身份参与本项目磋商，具体详见我公司营业执照及本响应文件盖章供应商名称，故非联合体参与磋商。</w:t>
      </w:r>
    </w:p>
    <w:p>
      <w:pPr>
        <w:spacing w:line="360" w:lineRule="auto"/>
        <w:rPr>
          <w:sz w:val="24"/>
          <w:szCs w:val="24"/>
          <w:highlight w:val="none"/>
        </w:rPr>
      </w:pPr>
    </w:p>
    <w:p>
      <w:pPr>
        <w:spacing w:line="360" w:lineRule="auto"/>
        <w:ind w:firstLine="480" w:firstLineChars="200"/>
        <w:rPr>
          <w:rFonts w:asciiTheme="minorEastAsia"/>
          <w:sz w:val="24"/>
          <w:szCs w:val="24"/>
          <w:highlight w:val="none"/>
        </w:rPr>
      </w:pPr>
      <w:r>
        <w:rPr>
          <w:rFonts w:hint="eastAsia" w:asciiTheme="minorEastAsia" w:hAnsiTheme="minorEastAsia"/>
          <w:sz w:val="24"/>
          <w:szCs w:val="24"/>
          <w:highlight w:val="none"/>
        </w:rPr>
        <w:t>特此声明！</w:t>
      </w:r>
    </w:p>
    <w:p>
      <w:pPr>
        <w:rPr>
          <w:rFonts w:ascii="宋体"/>
          <w:color w:val="000000"/>
          <w:szCs w:val="21"/>
          <w:highlight w:val="none"/>
        </w:rPr>
      </w:pPr>
    </w:p>
    <w:p>
      <w:pPr>
        <w:rPr>
          <w:rFonts w:ascii="宋体"/>
          <w:color w:val="000000"/>
          <w:szCs w:val="21"/>
          <w:highlight w:val="none"/>
        </w:rPr>
      </w:pPr>
    </w:p>
    <w:p>
      <w:pPr>
        <w:rPr>
          <w:rFonts w:ascii="宋体"/>
          <w:color w:val="000000"/>
          <w:szCs w:val="21"/>
          <w:highlight w:val="none"/>
        </w:rPr>
      </w:pPr>
    </w:p>
    <w:p>
      <w:pPr>
        <w:spacing w:line="480" w:lineRule="auto"/>
        <w:ind w:firstLine="2880" w:firstLineChars="1200"/>
        <w:rPr>
          <w:rFonts w:ascii="宋体"/>
          <w:color w:val="000000"/>
          <w:sz w:val="24"/>
          <w:highlight w:val="none"/>
        </w:rPr>
      </w:pPr>
      <w:r>
        <w:rPr>
          <w:rFonts w:hint="eastAsia" w:ascii="宋体" w:hAnsi="宋体"/>
          <w:color w:val="000000"/>
          <w:sz w:val="24"/>
          <w:highlight w:val="none"/>
        </w:rPr>
        <w:t>供应商：</w:t>
      </w:r>
      <w:r>
        <w:rPr>
          <w:rFonts w:hint="eastAsia" w:ascii="宋体" w:hAnsi="宋体"/>
          <w:color w:val="000000"/>
          <w:sz w:val="24"/>
          <w:highlight w:val="none"/>
          <w:u w:val="single"/>
        </w:rPr>
        <w:t>　　　　　　　　　　　　　　　　　</w:t>
      </w:r>
      <w:r>
        <w:rPr>
          <w:rFonts w:hint="eastAsia" w:ascii="宋体" w:hAnsi="宋体"/>
          <w:color w:val="000000"/>
          <w:sz w:val="24"/>
          <w:highlight w:val="none"/>
        </w:rPr>
        <w:t>（公章）</w:t>
      </w:r>
    </w:p>
    <w:p>
      <w:pPr>
        <w:spacing w:line="480" w:lineRule="auto"/>
        <w:ind w:firstLine="2880" w:firstLineChars="1200"/>
        <w:rPr>
          <w:rFonts w:ascii="宋体"/>
          <w:color w:val="000000"/>
          <w:sz w:val="24"/>
          <w:highlight w:val="none"/>
          <w:u w:val="single"/>
        </w:rPr>
      </w:pPr>
      <w:r>
        <w:rPr>
          <w:rFonts w:hint="eastAsia" w:ascii="宋体" w:hAnsi="宋体"/>
          <w:color w:val="000000"/>
          <w:sz w:val="24"/>
          <w:highlight w:val="none"/>
        </w:rPr>
        <w:t>法定代表人或其委托代理人：</w:t>
      </w:r>
      <w:r>
        <w:rPr>
          <w:rFonts w:hint="eastAsia" w:ascii="宋体" w:hAnsi="宋体"/>
          <w:color w:val="000000"/>
          <w:sz w:val="24"/>
          <w:highlight w:val="none"/>
          <w:u w:val="single"/>
        </w:rPr>
        <w:t>　　　　　</w:t>
      </w:r>
      <w:r>
        <w:rPr>
          <w:rFonts w:hint="eastAsia" w:ascii="宋体" w:hAnsi="宋体"/>
          <w:color w:val="000000"/>
          <w:sz w:val="24"/>
          <w:highlight w:val="none"/>
        </w:rPr>
        <w:t>（签名或盖章）</w:t>
      </w:r>
    </w:p>
    <w:p>
      <w:pPr>
        <w:spacing w:line="480" w:lineRule="auto"/>
        <w:ind w:firstLine="2880" w:firstLineChars="1200"/>
        <w:rPr>
          <w:rFonts w:ascii="宋体" w:hAnsi="宋体"/>
          <w:color w:val="000000"/>
          <w:sz w:val="24"/>
          <w:highlight w:val="none"/>
        </w:rPr>
      </w:pPr>
      <w:r>
        <w:rPr>
          <w:rFonts w:hint="eastAsia" w:ascii="宋体" w:hAnsi="宋体"/>
          <w:color w:val="000000"/>
          <w:sz w:val="24"/>
          <w:highlight w:val="none"/>
        </w:rPr>
        <w:t>日期：</w:t>
      </w:r>
      <w:r>
        <w:rPr>
          <w:rFonts w:hint="eastAsia" w:ascii="宋体" w:hAnsi="宋体"/>
          <w:color w:val="000000"/>
          <w:sz w:val="24"/>
          <w:highlight w:val="none"/>
          <w:u w:val="single"/>
        </w:rPr>
        <w:t>　　　　　</w:t>
      </w:r>
      <w:r>
        <w:rPr>
          <w:rFonts w:hint="eastAsia" w:ascii="宋体" w:hAnsi="宋体"/>
          <w:color w:val="000000"/>
          <w:sz w:val="24"/>
          <w:highlight w:val="none"/>
        </w:rPr>
        <w:t>年</w:t>
      </w:r>
      <w:r>
        <w:rPr>
          <w:rFonts w:hint="eastAsia" w:ascii="宋体" w:hAnsi="宋体"/>
          <w:color w:val="000000"/>
          <w:sz w:val="24"/>
          <w:highlight w:val="none"/>
          <w:u w:val="single"/>
        </w:rPr>
        <w:t>　　</w:t>
      </w:r>
      <w:r>
        <w:rPr>
          <w:rFonts w:hint="eastAsia" w:ascii="宋体" w:hAnsi="宋体"/>
          <w:color w:val="000000"/>
          <w:sz w:val="24"/>
          <w:highlight w:val="none"/>
        </w:rPr>
        <w:t>月</w:t>
      </w:r>
      <w:r>
        <w:rPr>
          <w:rFonts w:hint="eastAsia" w:ascii="宋体" w:hAnsi="宋体"/>
          <w:color w:val="000000"/>
          <w:sz w:val="24"/>
          <w:highlight w:val="none"/>
          <w:u w:val="single"/>
        </w:rPr>
        <w:t>　　</w:t>
      </w:r>
      <w:r>
        <w:rPr>
          <w:rFonts w:hint="eastAsia" w:ascii="宋体" w:hAnsi="宋体"/>
          <w:color w:val="000000"/>
          <w:sz w:val="24"/>
          <w:highlight w:val="none"/>
        </w:rPr>
        <w:t>日</w:t>
      </w:r>
    </w:p>
    <w:p>
      <w:pPr>
        <w:widowControl/>
        <w:jc w:val="left"/>
        <w:rPr>
          <w:rFonts w:eastAsia="黑体"/>
          <w:b/>
          <w:iCs/>
          <w:color w:val="000000" w:themeColor="text1"/>
          <w:kern w:val="0"/>
          <w:sz w:val="28"/>
          <w:highlight w:val="none"/>
          <w14:textFill>
            <w14:solidFill>
              <w14:schemeClr w14:val="tx1"/>
            </w14:solidFill>
          </w14:textFill>
        </w:rPr>
      </w:pPr>
      <w:r>
        <w:rPr>
          <w:rFonts w:eastAsia="黑体"/>
          <w:b/>
          <w:iCs/>
          <w:color w:val="000000" w:themeColor="text1"/>
          <w:kern w:val="0"/>
          <w:sz w:val="28"/>
          <w:highlight w:val="none"/>
          <w14:textFill>
            <w14:solidFill>
              <w14:schemeClr w14:val="tx1"/>
            </w14:solidFill>
          </w14:textFill>
        </w:rPr>
        <w:br w:type="page"/>
      </w:r>
    </w:p>
    <w:p>
      <w:pPr>
        <w:pStyle w:val="4"/>
        <w:jc w:val="center"/>
        <w:rPr>
          <w:sz w:val="36"/>
          <w:szCs w:val="36"/>
          <w:highlight w:val="none"/>
        </w:rPr>
      </w:pPr>
      <w:bookmarkStart w:id="206" w:name="_Toc65158823"/>
      <w:r>
        <w:rPr>
          <w:rFonts w:hint="eastAsia"/>
          <w:sz w:val="36"/>
          <w:szCs w:val="36"/>
          <w:highlight w:val="none"/>
        </w:rPr>
        <w:t>技术服务</w:t>
      </w:r>
      <w:bookmarkEnd w:id="196"/>
      <w:bookmarkEnd w:id="197"/>
      <w:bookmarkEnd w:id="198"/>
      <w:bookmarkEnd w:id="199"/>
      <w:bookmarkEnd w:id="200"/>
      <w:r>
        <w:rPr>
          <w:rFonts w:hint="eastAsia"/>
          <w:sz w:val="36"/>
          <w:szCs w:val="36"/>
          <w:highlight w:val="none"/>
        </w:rPr>
        <w:t>文件</w:t>
      </w:r>
      <w:bookmarkEnd w:id="206"/>
    </w:p>
    <w:p>
      <w:pPr>
        <w:rPr>
          <w:highlight w:val="none"/>
        </w:rPr>
      </w:pPr>
    </w:p>
    <w:p>
      <w:pPr>
        <w:autoSpaceDE w:val="0"/>
        <w:autoSpaceDN w:val="0"/>
        <w:adjustRightInd w:val="0"/>
        <w:spacing w:line="360" w:lineRule="auto"/>
        <w:ind w:firstLine="480" w:firstLineChars="200"/>
        <w:rPr>
          <w:rFonts w:ascii="宋体" w:hAnsi="宋体" w:eastAsia="宋体" w:cs="Times New Roman"/>
          <w:color w:val="0D0D0D"/>
          <w:kern w:val="0"/>
          <w:sz w:val="24"/>
          <w:szCs w:val="32"/>
          <w:highlight w:val="none"/>
        </w:rPr>
      </w:pPr>
      <w:r>
        <w:rPr>
          <w:rFonts w:hint="eastAsia" w:ascii="宋体" w:hAnsi="宋体" w:eastAsia="宋体" w:cs="Times New Roman"/>
          <w:color w:val="0D0D0D"/>
          <w:kern w:val="0"/>
          <w:sz w:val="24"/>
          <w:szCs w:val="32"/>
          <w:highlight w:val="none"/>
        </w:rPr>
        <w:t>由各供应商根据参考格式要求自行编写。内容详尽、易于理解和评审并富有建设性的技术、服务方案在评审时具有优势。</w:t>
      </w:r>
    </w:p>
    <w:p>
      <w:pPr>
        <w:rPr>
          <w:highlight w:val="none"/>
        </w:rPr>
      </w:pPr>
    </w:p>
    <w:p>
      <w:pPr>
        <w:autoSpaceDE w:val="0"/>
        <w:autoSpaceDN w:val="0"/>
        <w:adjustRightInd w:val="0"/>
        <w:spacing w:line="360" w:lineRule="auto"/>
        <w:ind w:left="663" w:hanging="663" w:hangingChars="275"/>
        <w:rPr>
          <w:highlight w:val="none"/>
          <w:lang w:eastAsia="zh-CN"/>
        </w:rPr>
      </w:pPr>
      <w:r>
        <w:rPr>
          <w:rFonts w:hint="eastAsia" w:ascii="宋体" w:hAnsi="宋体" w:eastAsia="宋体" w:cs="Times New Roman"/>
          <w:b/>
          <w:color w:val="0D0D0D"/>
          <w:kern w:val="0"/>
          <w:sz w:val="24"/>
          <w:szCs w:val="32"/>
          <w:highlight w:val="none"/>
        </w:rPr>
        <w:t>说明：</w:t>
      </w:r>
      <w:r>
        <w:rPr>
          <w:rFonts w:hint="eastAsia" w:ascii="宋体" w:hAnsi="宋体" w:eastAsia="宋体" w:cs="Times New Roman"/>
          <w:color w:val="0D0D0D"/>
          <w:kern w:val="0"/>
          <w:sz w:val="24"/>
          <w:szCs w:val="32"/>
          <w:highlight w:val="none"/>
        </w:rPr>
        <w:t>技术服务文件的编制原则，一是按竞争性磋商文件要求，提供相应说明、资料、表格以证明所投服务是否响应竞争性磋商文件要求；二是对应评分标准的技术部分要求，充分体现所投服务对于评分标准的响应程度。</w:t>
      </w:r>
    </w:p>
    <w:p>
      <w:pPr>
        <w:widowControl/>
        <w:jc w:val="left"/>
        <w:rPr>
          <w:rFonts w:ascii="Times New Roman" w:hAnsi="Times New Roman" w:eastAsia="黑体"/>
          <w:bCs/>
          <w:kern w:val="44"/>
          <w:sz w:val="36"/>
          <w:szCs w:val="36"/>
          <w:highlight w:val="none"/>
        </w:rPr>
      </w:pPr>
      <w:r>
        <w:rPr>
          <w:sz w:val="36"/>
          <w:szCs w:val="36"/>
          <w:highlight w:val="none"/>
        </w:rPr>
        <w:br w:type="page"/>
      </w:r>
    </w:p>
    <w:p>
      <w:pPr>
        <w:pStyle w:val="3"/>
        <w:jc w:val="center"/>
        <w:rPr>
          <w:sz w:val="36"/>
          <w:szCs w:val="36"/>
          <w:highlight w:val="none"/>
        </w:rPr>
      </w:pPr>
      <w:bookmarkStart w:id="207" w:name="_Toc57652198"/>
      <w:bookmarkStart w:id="208" w:name="_Toc65158824"/>
      <w:bookmarkStart w:id="209" w:name="_Toc38457877"/>
      <w:r>
        <w:rPr>
          <w:rFonts w:hint="eastAsia"/>
          <w:sz w:val="36"/>
          <w:szCs w:val="36"/>
          <w:highlight w:val="none"/>
        </w:rPr>
        <w:t>相关附件及要求</w:t>
      </w:r>
      <w:bookmarkEnd w:id="207"/>
      <w:bookmarkEnd w:id="208"/>
    </w:p>
    <w:p>
      <w:pPr>
        <w:jc w:val="center"/>
        <w:rPr>
          <w:rFonts w:hint="eastAsia" w:ascii="宋体" w:hAnsi="宋体" w:eastAsia="宋体"/>
          <w:b/>
          <w:sz w:val="30"/>
          <w:szCs w:val="30"/>
          <w:highlight w:val="none"/>
        </w:rPr>
      </w:pPr>
      <w:r>
        <w:rPr>
          <w:rFonts w:hint="eastAsia" w:ascii="宋体" w:hAnsi="宋体" w:eastAsia="宋体"/>
          <w:b/>
          <w:sz w:val="30"/>
          <w:szCs w:val="30"/>
          <w:highlight w:val="none"/>
        </w:rPr>
        <w:t>中小企业声明函（货物）</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本公司</w:t>
      </w:r>
      <w:r>
        <w:rPr>
          <w:rFonts w:hint="eastAsia" w:ascii="宋体" w:hAnsi="宋体" w:eastAsia="宋体" w:cs="宋体"/>
          <w:sz w:val="28"/>
          <w:szCs w:val="28"/>
          <w:highlight w:val="none"/>
        </w:rPr>
        <w:t>（联合体</w:t>
      </w:r>
      <w:r>
        <w:rPr>
          <w:rFonts w:hint="eastAsia" w:ascii="宋体" w:hAnsi="宋体" w:eastAsia="宋体" w:cs="宋体"/>
          <w:spacing w:val="-5"/>
          <w:sz w:val="28"/>
          <w:szCs w:val="28"/>
          <w:highlight w:val="none"/>
        </w:rPr>
        <w:t>）</w:t>
      </w:r>
      <w:r>
        <w:rPr>
          <w:rFonts w:hint="eastAsia" w:ascii="宋体" w:hAnsi="宋体" w:eastAsia="宋体" w:cs="宋体"/>
          <w:spacing w:val="-2"/>
          <w:sz w:val="28"/>
          <w:szCs w:val="28"/>
          <w:highlight w:val="none"/>
        </w:rPr>
        <w:t>郑重声明，根据《政府采购促进中小</w:t>
      </w:r>
      <w:r>
        <w:rPr>
          <w:rFonts w:hint="eastAsia" w:ascii="宋体" w:hAnsi="宋体" w:eastAsia="宋体" w:cs="宋体"/>
          <w:spacing w:val="-18"/>
          <w:sz w:val="28"/>
          <w:szCs w:val="28"/>
          <w:highlight w:val="none"/>
        </w:rPr>
        <w:t>企业发展管理办法》</w:t>
      </w:r>
      <w:r>
        <w:rPr>
          <w:rFonts w:hint="eastAsia" w:ascii="宋体" w:hAnsi="宋体" w:eastAsia="宋体" w:cs="宋体"/>
          <w:sz w:val="28"/>
          <w:szCs w:val="28"/>
          <w:highlight w:val="none"/>
        </w:rPr>
        <w:t>（</w:t>
      </w:r>
      <w:r>
        <w:rPr>
          <w:rFonts w:hint="eastAsia" w:ascii="宋体" w:hAnsi="宋体" w:eastAsia="宋体" w:cs="宋体"/>
          <w:spacing w:val="5"/>
          <w:sz w:val="28"/>
          <w:szCs w:val="28"/>
          <w:highlight w:val="none"/>
        </w:rPr>
        <w:t>财库</w:t>
      </w:r>
      <w:r>
        <w:rPr>
          <w:rFonts w:hint="eastAsia" w:ascii="宋体" w:hAnsi="宋体" w:eastAsia="宋体" w:cs="宋体"/>
          <w:sz w:val="28"/>
          <w:szCs w:val="28"/>
          <w:highlight w:val="none"/>
        </w:rPr>
        <w:t>﹝2020﹞46</w:t>
      </w:r>
      <w:r>
        <w:rPr>
          <w:rFonts w:hint="eastAsia" w:ascii="宋体" w:hAnsi="宋体" w:eastAsia="宋体" w:cs="宋体"/>
          <w:spacing w:val="-38"/>
          <w:sz w:val="28"/>
          <w:szCs w:val="28"/>
          <w:highlight w:val="none"/>
        </w:rPr>
        <w:t xml:space="preserve"> 号</w:t>
      </w:r>
      <w:r>
        <w:rPr>
          <w:rFonts w:hint="eastAsia" w:ascii="宋体" w:hAnsi="宋体" w:eastAsia="宋体" w:cs="宋体"/>
          <w:spacing w:val="5"/>
          <w:sz w:val="28"/>
          <w:szCs w:val="28"/>
          <w:highlight w:val="none"/>
        </w:rPr>
        <w:t>）</w:t>
      </w:r>
      <w:r>
        <w:rPr>
          <w:rFonts w:hint="eastAsia" w:ascii="宋体" w:hAnsi="宋体" w:eastAsia="宋体" w:cs="宋体"/>
          <w:sz w:val="28"/>
          <w:szCs w:val="28"/>
          <w:highlight w:val="none"/>
        </w:rPr>
        <w:t>的规定，本公司（联合体）</w:t>
      </w:r>
      <w:r>
        <w:rPr>
          <w:rFonts w:hint="eastAsia" w:ascii="宋体" w:hAnsi="宋体" w:eastAsia="宋体" w:cs="宋体"/>
          <w:spacing w:val="-8"/>
          <w:sz w:val="28"/>
          <w:szCs w:val="28"/>
          <w:highlight w:val="none"/>
        </w:rPr>
        <w:t>参加</w:t>
      </w:r>
      <w:r>
        <w:rPr>
          <w:rFonts w:hint="eastAsia" w:ascii="宋体" w:hAnsi="宋体" w:eastAsia="宋体" w:cs="宋体"/>
          <w:spacing w:val="-8"/>
          <w:sz w:val="28"/>
          <w:szCs w:val="28"/>
          <w:highlight w:val="none"/>
          <w:u w:val="single"/>
          <w:lang w:eastAsia="zh-CN"/>
        </w:rPr>
        <w:t>（单位名称）</w:t>
      </w:r>
      <w:r>
        <w:rPr>
          <w:rFonts w:hint="eastAsia" w:ascii="宋体" w:hAnsi="宋体" w:eastAsia="宋体" w:cs="宋体"/>
          <w:spacing w:val="-8"/>
          <w:sz w:val="28"/>
          <w:szCs w:val="28"/>
          <w:highlight w:val="none"/>
          <w:u w:val="none"/>
          <w:lang w:eastAsia="zh-CN"/>
        </w:rPr>
        <w:t>的</w:t>
      </w:r>
      <w:r>
        <w:rPr>
          <w:rFonts w:hint="eastAsia" w:ascii="宋体" w:hAnsi="宋体" w:eastAsia="宋体" w:cs="宋体"/>
          <w:spacing w:val="-8"/>
          <w:sz w:val="28"/>
          <w:szCs w:val="28"/>
          <w:highlight w:val="none"/>
          <w:u w:val="single"/>
          <w:lang w:eastAsia="zh-CN"/>
        </w:rPr>
        <w:t>（项目名称）</w:t>
      </w:r>
      <w:r>
        <w:rPr>
          <w:rFonts w:hint="eastAsia" w:ascii="宋体" w:hAnsi="宋体" w:eastAsia="宋体" w:cs="宋体"/>
          <w:spacing w:val="-1"/>
          <w:sz w:val="28"/>
          <w:szCs w:val="28"/>
          <w:highlight w:val="none"/>
        </w:rPr>
        <w:t>采购活动，提</w:t>
      </w:r>
      <w:r>
        <w:rPr>
          <w:rFonts w:hint="eastAsia" w:ascii="宋体" w:hAnsi="宋体" w:eastAsia="宋体" w:cs="宋体"/>
          <w:spacing w:val="11"/>
          <w:w w:val="95"/>
          <w:sz w:val="28"/>
          <w:szCs w:val="28"/>
          <w:highlight w:val="none"/>
        </w:rPr>
        <w:t>供的货物全部由符合政策要求</w:t>
      </w:r>
      <w:r>
        <w:rPr>
          <w:rFonts w:hint="eastAsia" w:ascii="宋体" w:hAnsi="宋体" w:eastAsia="宋体" w:cs="宋体"/>
          <w:spacing w:val="-2"/>
          <w:sz w:val="28"/>
          <w:szCs w:val="28"/>
          <w:highlight w:val="none"/>
        </w:rPr>
        <w:t>的中小企业制造。相关企业（含联合体中的中小企业、签订分包意向协议的中小企业）的具体情况如下：</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lang w:val="en-US" w:eastAsia="zh-CN"/>
        </w:rPr>
        <w:t>1.</w:t>
      </w:r>
      <w:r>
        <w:rPr>
          <w:rFonts w:hint="eastAsia" w:ascii="宋体" w:hAnsi="宋体" w:eastAsia="宋体" w:cs="宋体"/>
          <w:spacing w:val="-2"/>
          <w:sz w:val="28"/>
          <w:szCs w:val="28"/>
          <w:highlight w:val="none"/>
          <w:u w:val="single"/>
          <w:lang w:eastAsia="zh-CN"/>
        </w:rPr>
        <w:t>（标</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的</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名</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称）</w:t>
      </w:r>
      <w:r>
        <w:rPr>
          <w:rFonts w:hint="eastAsia" w:ascii="宋体" w:hAnsi="宋体" w:eastAsia="宋体" w:cs="宋体"/>
          <w:spacing w:val="-2"/>
          <w:sz w:val="28"/>
          <w:szCs w:val="28"/>
          <w:highlight w:val="none"/>
        </w:rPr>
        <w:t>，</w:t>
      </w:r>
      <w:r>
        <w:rPr>
          <w:rFonts w:hint="eastAsia" w:ascii="宋体" w:hAnsi="宋体" w:eastAsia="宋体" w:cs="宋体"/>
          <w:spacing w:val="-2"/>
          <w:sz w:val="28"/>
          <w:szCs w:val="28"/>
          <w:highlight w:val="none"/>
          <w:lang w:eastAsia="zh-CN"/>
        </w:rPr>
        <w:t>属于</w:t>
      </w:r>
      <w:r>
        <w:rPr>
          <w:rFonts w:hint="eastAsia" w:ascii="宋体" w:hAnsi="宋体" w:eastAsia="宋体" w:cs="宋体"/>
          <w:spacing w:val="-2"/>
          <w:sz w:val="28"/>
          <w:szCs w:val="28"/>
          <w:highlight w:val="none"/>
          <w:u w:val="single"/>
          <w:lang w:eastAsia="zh-CN"/>
        </w:rPr>
        <w:t>（采购文件中明确的所属行业）行业</w:t>
      </w:r>
      <w:r>
        <w:rPr>
          <w:rFonts w:hint="eastAsia" w:ascii="宋体" w:hAnsi="宋体" w:eastAsia="宋体" w:cs="宋体"/>
          <w:spacing w:val="-2"/>
          <w:sz w:val="28"/>
          <w:szCs w:val="28"/>
          <w:highlight w:val="none"/>
          <w:lang w:eastAsia="zh-CN"/>
        </w:rPr>
        <w:t>；制造商为</w:t>
      </w:r>
      <w:r>
        <w:rPr>
          <w:rFonts w:hint="eastAsia" w:ascii="宋体" w:hAnsi="宋体" w:eastAsia="宋体" w:cs="宋体"/>
          <w:spacing w:val="-2"/>
          <w:sz w:val="28"/>
          <w:szCs w:val="28"/>
          <w:highlight w:val="none"/>
          <w:u w:val="single"/>
          <w:lang w:eastAsia="zh-CN"/>
        </w:rPr>
        <w:t>（企业名称）</w:t>
      </w:r>
      <w:r>
        <w:rPr>
          <w:rFonts w:hint="eastAsia" w:ascii="宋体" w:hAnsi="宋体" w:eastAsia="宋体" w:cs="宋体"/>
          <w:spacing w:val="-2"/>
          <w:sz w:val="28"/>
          <w:szCs w:val="28"/>
          <w:highlight w:val="none"/>
          <w:lang w:eastAsia="zh-CN"/>
        </w:rPr>
        <w:t>，从业人员</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lang w:val="en-US" w:eastAsia="zh-CN"/>
        </w:rPr>
        <w:t>人，营业收入为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lang w:val="en-US" w:eastAsia="zh-CN"/>
        </w:rPr>
        <w:t>万元，资产总额为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lang w:val="en-US" w:eastAsia="zh-CN"/>
        </w:rPr>
        <w:t>万元，</w:t>
      </w:r>
      <w:r>
        <w:rPr>
          <w:rFonts w:hint="eastAsia" w:ascii="宋体" w:hAnsi="宋体" w:eastAsia="宋体" w:cs="宋体"/>
          <w:spacing w:val="-2"/>
          <w:sz w:val="28"/>
          <w:szCs w:val="28"/>
          <w:highlight w:val="none"/>
          <w:u w:val="single"/>
          <w:lang w:val="en-US" w:eastAsia="zh-CN"/>
        </w:rPr>
        <w:t>属于（中型企业、小型企业、微型企业）</w:t>
      </w:r>
      <w:r>
        <w:rPr>
          <w:rFonts w:hint="eastAsia" w:ascii="宋体" w:hAnsi="宋体" w:eastAsia="宋体" w:cs="宋体"/>
          <w:spacing w:val="-2"/>
          <w:sz w:val="28"/>
          <w:szCs w:val="28"/>
          <w:highlight w:val="none"/>
          <w:lang w:val="en-US" w:eastAsia="zh-CN"/>
        </w:rPr>
        <w:t>；</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lang w:val="en-US" w:eastAsia="zh-CN"/>
        </w:rPr>
        <w:t>2.</w:t>
      </w:r>
      <w:r>
        <w:rPr>
          <w:rFonts w:hint="eastAsia" w:ascii="宋体" w:hAnsi="宋体" w:eastAsia="宋体" w:cs="宋体"/>
          <w:spacing w:val="-2"/>
          <w:sz w:val="28"/>
          <w:szCs w:val="28"/>
          <w:highlight w:val="none"/>
          <w:u w:val="single"/>
          <w:lang w:eastAsia="zh-CN"/>
        </w:rPr>
        <w:t>（标</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的</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名</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u w:val="single"/>
          <w:lang w:eastAsia="zh-CN"/>
        </w:rPr>
        <w:t>称）</w:t>
      </w:r>
      <w:r>
        <w:rPr>
          <w:rFonts w:hint="eastAsia" w:ascii="宋体" w:hAnsi="宋体" w:eastAsia="宋体" w:cs="宋体"/>
          <w:spacing w:val="-2"/>
          <w:sz w:val="28"/>
          <w:szCs w:val="28"/>
          <w:highlight w:val="none"/>
        </w:rPr>
        <w:t>，属于</w:t>
      </w:r>
      <w:r>
        <w:rPr>
          <w:rFonts w:hint="eastAsia" w:ascii="宋体" w:hAnsi="宋体" w:eastAsia="宋体" w:cs="宋体"/>
          <w:spacing w:val="-2"/>
          <w:sz w:val="28"/>
          <w:szCs w:val="28"/>
          <w:highlight w:val="none"/>
          <w:u w:val="single"/>
        </w:rPr>
        <w:t>（采购文件中明确的所属行业）行业</w:t>
      </w:r>
      <w:r>
        <w:rPr>
          <w:rFonts w:hint="eastAsia" w:ascii="宋体" w:hAnsi="宋体" w:eastAsia="宋体" w:cs="宋体"/>
          <w:spacing w:val="-2"/>
          <w:sz w:val="28"/>
          <w:szCs w:val="28"/>
          <w:highlight w:val="none"/>
        </w:rPr>
        <w:t>；制造商为</w:t>
      </w:r>
      <w:r>
        <w:rPr>
          <w:rFonts w:hint="eastAsia" w:ascii="宋体" w:hAnsi="宋体" w:eastAsia="宋体" w:cs="宋体"/>
          <w:spacing w:val="-2"/>
          <w:sz w:val="28"/>
          <w:szCs w:val="28"/>
          <w:highlight w:val="none"/>
          <w:u w:val="single"/>
        </w:rPr>
        <w:t>（企业名称）</w:t>
      </w:r>
      <w:r>
        <w:rPr>
          <w:rFonts w:hint="eastAsia" w:ascii="宋体" w:hAnsi="宋体" w:eastAsia="宋体" w:cs="宋体"/>
          <w:spacing w:val="-2"/>
          <w:sz w:val="28"/>
          <w:szCs w:val="28"/>
          <w:highlight w:val="none"/>
        </w:rPr>
        <w:t>，从业人员</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rPr>
        <w:t>人，营业收入为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rPr>
        <w:t>万元，资产总额为</w:t>
      </w:r>
      <w:r>
        <w:rPr>
          <w:rFonts w:hint="eastAsia" w:ascii="宋体" w:hAnsi="宋体" w:eastAsia="宋体" w:cs="宋体"/>
          <w:spacing w:val="-2"/>
          <w:sz w:val="28"/>
          <w:szCs w:val="28"/>
          <w:highlight w:val="none"/>
          <w:u w:val="single"/>
          <w:lang w:val="en-US" w:eastAsia="zh-CN"/>
        </w:rPr>
        <w:t xml:space="preserve">      </w:t>
      </w:r>
      <w:r>
        <w:rPr>
          <w:rFonts w:hint="eastAsia" w:ascii="宋体" w:hAnsi="宋体" w:eastAsia="宋体" w:cs="宋体"/>
          <w:spacing w:val="-2"/>
          <w:sz w:val="28"/>
          <w:szCs w:val="28"/>
          <w:highlight w:val="none"/>
        </w:rPr>
        <w:t>万元，属于</w:t>
      </w:r>
      <w:r>
        <w:rPr>
          <w:rFonts w:hint="eastAsia" w:ascii="宋体" w:hAnsi="宋体" w:eastAsia="宋体" w:cs="宋体"/>
          <w:spacing w:val="-2"/>
          <w:sz w:val="28"/>
          <w:szCs w:val="28"/>
          <w:highlight w:val="none"/>
          <w:u w:val="single"/>
        </w:rPr>
        <w:t>（中型企业、小型 企业、微型企业）</w:t>
      </w:r>
      <w:r>
        <w:rPr>
          <w:rFonts w:hint="eastAsia" w:ascii="宋体" w:hAnsi="宋体" w:eastAsia="宋体" w:cs="宋体"/>
          <w:spacing w:val="-2"/>
          <w:sz w:val="28"/>
          <w:szCs w:val="28"/>
          <w:highlight w:val="none"/>
        </w:rPr>
        <w:t>；</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以上企业，不属于大企业的分支机构，不存在控股股东为大企业的情形，也不存在与大企业的负责人为同一人的情 形。</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本企业对上述声明内容的真实性负责。如有虚假，将依 法承担相应责任。</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lang w:eastAsia="zh-CN"/>
        </w:rPr>
      </w:pPr>
      <w:r>
        <w:rPr>
          <w:rFonts w:hint="eastAsia" w:ascii="宋体" w:hAnsi="宋体" w:eastAsia="宋体" w:cs="宋体"/>
          <w:spacing w:val="-2"/>
          <w:sz w:val="28"/>
          <w:szCs w:val="28"/>
          <w:highlight w:val="none"/>
          <w:lang w:eastAsia="zh-CN"/>
        </w:rPr>
        <w:t>企业名称（盖章）：</w:t>
      </w:r>
    </w:p>
    <w:p>
      <w:pPr>
        <w:pStyle w:val="1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52" w:firstLineChars="200"/>
        <w:textAlignment w:val="auto"/>
        <w:rPr>
          <w:rFonts w:hint="eastAsia" w:ascii="宋体" w:hAnsi="宋体" w:eastAsia="宋体" w:cs="宋体"/>
          <w:spacing w:val="-2"/>
          <w:sz w:val="28"/>
          <w:szCs w:val="28"/>
          <w:highlight w:val="none"/>
        </w:rPr>
      </w:pPr>
      <w:r>
        <w:rPr>
          <w:rFonts w:hint="eastAsia" w:ascii="宋体" w:hAnsi="宋体" w:eastAsia="宋体" w:cs="宋体"/>
          <w:spacing w:val="-2"/>
          <w:sz w:val="28"/>
          <w:szCs w:val="28"/>
          <w:highlight w:val="none"/>
        </w:rPr>
        <w:t>日期：</w:t>
      </w:r>
    </w:p>
    <w:p>
      <w:pPr>
        <w:spacing w:line="480" w:lineRule="auto"/>
        <w:rPr>
          <w:rFonts w:ascii="宋体"/>
          <w:b/>
          <w:bCs/>
          <w:color w:val="000000" w:themeColor="text1"/>
          <w:sz w:val="24"/>
          <w:highlight w:val="none"/>
          <w14:textFill>
            <w14:solidFill>
              <w14:schemeClr w14:val="tx1"/>
            </w14:solidFill>
          </w14:textFill>
        </w:rPr>
      </w:pPr>
      <w:r>
        <w:rPr>
          <w:rFonts w:hint="default" w:ascii="宋体" w:hAnsi="宋体" w:eastAsia="宋体" w:cs="宋体"/>
          <w:spacing w:val="-2"/>
          <w:sz w:val="18"/>
          <w:szCs w:val="18"/>
          <w:highlight w:val="none"/>
          <w:lang w:val="en-US" w:eastAsia="zh-CN"/>
        </w:rPr>
        <w:t>1</w:t>
      </w:r>
      <w:r>
        <w:rPr>
          <w:rFonts w:hint="eastAsia" w:ascii="宋体" w:hAnsi="宋体" w:eastAsia="宋体" w:cs="宋体"/>
          <w:spacing w:val="-2"/>
          <w:sz w:val="18"/>
          <w:szCs w:val="18"/>
          <w:highlight w:val="none"/>
          <w:lang w:val="en-US" w:eastAsia="zh-CN"/>
        </w:rPr>
        <w:t>从</w:t>
      </w:r>
      <w:r>
        <w:rPr>
          <w:rFonts w:hint="eastAsia" w:ascii="宋体" w:hAnsi="宋体" w:eastAsia="宋体" w:cs="宋体"/>
          <w:spacing w:val="-2"/>
          <w:sz w:val="18"/>
          <w:szCs w:val="18"/>
          <w:highlight w:val="none"/>
          <w:lang w:eastAsia="zh-CN"/>
        </w:rPr>
        <w:t>业人员、营业收入、资产总额填报上一年度数据，无上一年度数据的新成立企业可不填报。</w:t>
      </w:r>
    </w:p>
    <w:p>
      <w:pPr>
        <w:rPr>
          <w:highlight w:val="none"/>
        </w:rPr>
      </w:pPr>
    </w:p>
    <w:p>
      <w:pPr>
        <w:rPr>
          <w:highlight w:val="none"/>
          <w:lang w:eastAsia="zh-CN"/>
        </w:rPr>
        <w:sectPr>
          <w:pgSz w:w="11907" w:h="16840"/>
          <w:pgMar w:top="1418" w:right="1418" w:bottom="1418" w:left="1588" w:header="851" w:footer="992" w:gutter="0"/>
          <w:pgNumType w:start="1"/>
          <w:cols w:space="425" w:num="1"/>
          <w:docGrid w:linePitch="312" w:charSpace="0"/>
        </w:sectPr>
      </w:pPr>
    </w:p>
    <w:p>
      <w:pPr>
        <w:jc w:val="center"/>
        <w:rPr>
          <w:rFonts w:ascii="宋体" w:hAnsi="宋体" w:eastAsia="宋体"/>
          <w:b/>
          <w:sz w:val="30"/>
          <w:szCs w:val="30"/>
          <w:highlight w:val="none"/>
        </w:rPr>
      </w:pPr>
      <w:r>
        <w:rPr>
          <w:rFonts w:hint="eastAsia" w:ascii="宋体" w:hAnsi="宋体" w:eastAsia="宋体"/>
          <w:b/>
          <w:sz w:val="30"/>
          <w:szCs w:val="30"/>
          <w:highlight w:val="none"/>
        </w:rPr>
        <w:t>中小企业划型标准</w:t>
      </w:r>
    </w:p>
    <w:tbl>
      <w:tblPr>
        <w:tblStyle w:val="32"/>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70"/>
        <w:gridCol w:w="1943"/>
        <w:gridCol w:w="1149"/>
        <w:gridCol w:w="882"/>
        <w:gridCol w:w="901"/>
        <w:gridCol w:w="1061"/>
        <w:gridCol w:w="901"/>
        <w:gridCol w:w="956"/>
        <w:gridCol w:w="1061"/>
        <w:gridCol w:w="918"/>
        <w:gridCol w:w="964"/>
        <w:gridCol w:w="1061"/>
        <w:gridCol w:w="939"/>
        <w:gridCol w:w="101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jc w:val="center"/>
        </w:trPr>
        <w:tc>
          <w:tcPr>
            <w:tcW w:w="165" w:type="pct"/>
            <w:vMerge w:val="restar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序号</w:t>
            </w:r>
          </w:p>
        </w:tc>
        <w:tc>
          <w:tcPr>
            <w:tcW w:w="683" w:type="pct"/>
            <w:vMerge w:val="restart"/>
            <w:shd w:val="clear" w:color="auto" w:fill="BEBEBE" w:themeFill="background1" w:themeFillShade="BF"/>
            <w:vAlign w:val="center"/>
          </w:tcPr>
          <w:p>
            <w:pPr>
              <w:jc w:val="center"/>
              <w:rPr>
                <w:rFonts w:ascii="宋体" w:hAnsi="宋体" w:eastAsia="宋体"/>
                <w:szCs w:val="21"/>
                <w:highlight w:val="none"/>
              </w:rPr>
            </w:pPr>
            <w:r>
              <w:rPr>
                <w:rFonts w:hint="eastAsia" w:ascii="宋体" w:hAnsi="宋体" w:eastAsia="宋体"/>
                <w:szCs w:val="21"/>
                <w:highlight w:val="none"/>
              </w:rPr>
              <w:t>行业</w:t>
            </w:r>
          </w:p>
        </w:tc>
        <w:tc>
          <w:tcPr>
            <w:tcW w:w="1031"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大型企业</w:t>
            </w:r>
          </w:p>
        </w:tc>
        <w:tc>
          <w:tcPr>
            <w:tcW w:w="1026"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中型企业</w:t>
            </w:r>
          </w:p>
        </w:tc>
        <w:tc>
          <w:tcPr>
            <w:tcW w:w="1035"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小型企业</w:t>
            </w:r>
          </w:p>
        </w:tc>
        <w:tc>
          <w:tcPr>
            <w:tcW w:w="1060" w:type="pct"/>
            <w:gridSpan w:val="3"/>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微型企业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blHeader/>
          <w:jc w:val="center"/>
        </w:trPr>
        <w:tc>
          <w:tcPr>
            <w:tcW w:w="165" w:type="pct"/>
            <w:vMerge w:val="continue"/>
            <w:shd w:val="clear" w:color="auto" w:fill="BEBEBE" w:themeFill="background1" w:themeFillShade="BF"/>
            <w:noWrap/>
            <w:vAlign w:val="center"/>
          </w:tcPr>
          <w:p>
            <w:pPr>
              <w:jc w:val="center"/>
              <w:rPr>
                <w:rFonts w:ascii="宋体" w:hAnsi="宋体" w:eastAsia="宋体"/>
                <w:szCs w:val="21"/>
                <w:highlight w:val="none"/>
              </w:rPr>
            </w:pPr>
          </w:p>
        </w:tc>
        <w:tc>
          <w:tcPr>
            <w:tcW w:w="683" w:type="pct"/>
            <w:vMerge w:val="continue"/>
            <w:shd w:val="clear" w:color="auto" w:fill="BEBEBE" w:themeFill="background1" w:themeFillShade="BF"/>
            <w:vAlign w:val="center"/>
          </w:tcPr>
          <w:p>
            <w:pPr>
              <w:jc w:val="center"/>
              <w:rPr>
                <w:rFonts w:ascii="宋体" w:hAnsi="宋体" w:eastAsia="宋体"/>
                <w:szCs w:val="21"/>
                <w:highlight w:val="none"/>
              </w:rPr>
            </w:pPr>
          </w:p>
        </w:tc>
        <w:tc>
          <w:tcPr>
            <w:tcW w:w="404"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10"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17"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c>
          <w:tcPr>
            <w:tcW w:w="37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17"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36"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c>
          <w:tcPr>
            <w:tcW w:w="37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2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39"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c>
          <w:tcPr>
            <w:tcW w:w="373"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营业收入（万元）</w:t>
            </w:r>
          </w:p>
        </w:tc>
        <w:tc>
          <w:tcPr>
            <w:tcW w:w="330"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从业人员（人）</w:t>
            </w:r>
          </w:p>
        </w:tc>
        <w:tc>
          <w:tcPr>
            <w:tcW w:w="357" w:type="pct"/>
            <w:shd w:val="clear" w:color="auto" w:fill="BEBEBE" w:themeFill="background1" w:themeFillShade="BF"/>
            <w:noWrap/>
            <w:vAlign w:val="center"/>
          </w:tcPr>
          <w:p>
            <w:pPr>
              <w:jc w:val="center"/>
              <w:rPr>
                <w:rFonts w:ascii="宋体" w:hAnsi="宋体" w:eastAsia="宋体"/>
                <w:szCs w:val="21"/>
                <w:highlight w:val="none"/>
              </w:rPr>
            </w:pPr>
            <w:r>
              <w:rPr>
                <w:rFonts w:hint="eastAsia" w:ascii="宋体" w:hAnsi="宋体" w:eastAsia="宋体"/>
                <w:szCs w:val="21"/>
                <w:highlight w:val="none"/>
              </w:rPr>
              <w:t>总资产（万元）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bookmarkStart w:id="210" w:name="_Hlk64965004"/>
            <w:r>
              <w:rPr>
                <w:rFonts w:hint="eastAsia" w:ascii="宋体" w:hAnsi="宋体" w:eastAsia="宋体"/>
                <w:szCs w:val="21"/>
                <w:highlight w:val="none"/>
              </w:rPr>
              <w:t>1</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农、林、牧、渔业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≥20000</w:t>
            </w:r>
          </w:p>
        </w:tc>
        <w:tc>
          <w:tcPr>
            <w:tcW w:w="310"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17" w:type="pct"/>
            <w:shd w:val="clear" w:color="auto" w:fill="auto"/>
            <w:noWrap/>
            <w:vAlign w:val="center"/>
          </w:tcPr>
          <w:p>
            <w:pPr>
              <w:jc w:val="center"/>
              <w:rPr>
                <w:rFonts w:ascii="宋体" w:hAnsi="宋体" w:eastAsia="宋体"/>
                <w:szCs w:val="21"/>
                <w:highlight w:val="none"/>
              </w:rPr>
            </w:pP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23" w:type="pct"/>
            <w:shd w:val="clear" w:color="auto" w:fill="auto"/>
            <w:noWrap/>
            <w:vAlign w:val="center"/>
          </w:tcPr>
          <w:p>
            <w:pPr>
              <w:jc w:val="center"/>
              <w:rPr>
                <w:rFonts w:ascii="宋体" w:hAnsi="宋体" w:eastAsia="宋体"/>
                <w:szCs w:val="21"/>
                <w:highlight w:val="none"/>
              </w:rPr>
            </w:pP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30" w:type="pct"/>
            <w:shd w:val="clear" w:color="auto" w:fill="auto"/>
            <w:noWrap/>
            <w:vAlign w:val="center"/>
          </w:tcPr>
          <w:p>
            <w:pPr>
              <w:jc w:val="center"/>
              <w:rPr>
                <w:rFonts w:ascii="宋体" w:hAnsi="宋体" w:eastAsia="宋体"/>
                <w:szCs w:val="21"/>
                <w:highlight w:val="none"/>
              </w:rPr>
            </w:pP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工业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≥40000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建筑业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≥80000</w:t>
            </w:r>
          </w:p>
        </w:tc>
        <w:tc>
          <w:tcPr>
            <w:tcW w:w="310"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≥80000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17" w:type="pct"/>
            <w:shd w:val="clear" w:color="auto" w:fill="auto"/>
            <w:noWrap/>
            <w:vAlign w:val="center"/>
          </w:tcPr>
          <w:p>
            <w:pPr>
              <w:jc w:val="center"/>
              <w:rPr>
                <w:rFonts w:ascii="宋体" w:hAnsi="宋体" w:eastAsia="宋体"/>
                <w:szCs w:val="21"/>
                <w:highlight w:val="none"/>
              </w:rPr>
            </w:pPr>
          </w:p>
        </w:tc>
        <w:tc>
          <w:tcPr>
            <w:tcW w:w="336"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23" w:type="pct"/>
            <w:shd w:val="clear" w:color="auto" w:fill="auto"/>
            <w:noWrap/>
            <w:vAlign w:val="center"/>
          </w:tcPr>
          <w:p>
            <w:pPr>
              <w:jc w:val="center"/>
              <w:rPr>
                <w:rFonts w:ascii="宋体" w:hAnsi="宋体" w:eastAsia="宋体"/>
                <w:szCs w:val="21"/>
                <w:highlight w:val="none"/>
              </w:rPr>
            </w:pPr>
          </w:p>
        </w:tc>
        <w:tc>
          <w:tcPr>
            <w:tcW w:w="339"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0" w:type="pct"/>
            <w:shd w:val="clear" w:color="auto" w:fill="auto"/>
            <w:noWrap/>
            <w:vAlign w:val="center"/>
          </w:tcPr>
          <w:p>
            <w:pPr>
              <w:jc w:val="center"/>
              <w:rPr>
                <w:rFonts w:ascii="宋体" w:hAnsi="宋体" w:eastAsia="宋体"/>
                <w:szCs w:val="21"/>
                <w:highlight w:val="none"/>
              </w:rPr>
            </w:pPr>
          </w:p>
        </w:tc>
        <w:tc>
          <w:tcPr>
            <w:tcW w:w="35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4</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批发业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≥40000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零售业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6</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交通运输业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7</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仓储业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8</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邮政业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9</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住宿业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餐饮业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11</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信息传输业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12</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软件和信息技术服务业</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13</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房地产开发经验</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≥200000</w:t>
            </w:r>
          </w:p>
        </w:tc>
        <w:tc>
          <w:tcPr>
            <w:tcW w:w="310"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或,≥10000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36"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且,≥5000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23" w:type="pct"/>
            <w:shd w:val="clear" w:color="auto" w:fill="auto"/>
            <w:noWrap/>
            <w:vAlign w:val="center"/>
          </w:tcPr>
          <w:p>
            <w:pPr>
              <w:jc w:val="center"/>
              <w:rPr>
                <w:rFonts w:ascii="宋体" w:hAnsi="宋体" w:eastAsia="宋体"/>
                <w:szCs w:val="21"/>
                <w:highlight w:val="none"/>
              </w:rPr>
            </w:pPr>
          </w:p>
        </w:tc>
        <w:tc>
          <w:tcPr>
            <w:tcW w:w="339"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且,≥2000</w:t>
            </w: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0" w:type="pct"/>
            <w:shd w:val="clear" w:color="auto" w:fill="auto"/>
            <w:noWrap/>
            <w:vAlign w:val="center"/>
          </w:tcPr>
          <w:p>
            <w:pPr>
              <w:jc w:val="center"/>
              <w:rPr>
                <w:rFonts w:ascii="宋体" w:hAnsi="宋体" w:eastAsia="宋体"/>
                <w:szCs w:val="21"/>
                <w:highlight w:val="none"/>
              </w:rPr>
            </w:pPr>
          </w:p>
        </w:tc>
        <w:tc>
          <w:tcPr>
            <w:tcW w:w="35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或,＜2000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14</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物业管理</w:t>
            </w:r>
          </w:p>
        </w:tc>
        <w:tc>
          <w:tcPr>
            <w:tcW w:w="404"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≥5000</w:t>
            </w: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＜500</w:t>
            </w: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57" w:type="pct"/>
            <w:shd w:val="clear" w:color="auto" w:fill="auto"/>
            <w:noWrap/>
            <w:vAlign w:val="center"/>
          </w:tcPr>
          <w:p>
            <w:pPr>
              <w:jc w:val="center"/>
              <w:rPr>
                <w:rFonts w:ascii="宋体" w:hAnsi="宋体" w:eastAsia="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15</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租赁和商务服务业</w:t>
            </w:r>
          </w:p>
        </w:tc>
        <w:tc>
          <w:tcPr>
            <w:tcW w:w="404" w:type="pct"/>
            <w:shd w:val="clear" w:color="auto" w:fill="auto"/>
            <w:noWrap/>
            <w:vAlign w:val="center"/>
          </w:tcPr>
          <w:p>
            <w:pPr>
              <w:jc w:val="center"/>
              <w:rPr>
                <w:rFonts w:ascii="宋体" w:hAnsi="宋体" w:eastAsia="宋体"/>
                <w:szCs w:val="21"/>
                <w:highlight w:val="none"/>
              </w:rPr>
            </w:pP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或,≥120000</w:t>
            </w:r>
          </w:p>
        </w:tc>
        <w:tc>
          <w:tcPr>
            <w:tcW w:w="373"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且,≥8000</w:t>
            </w:r>
          </w:p>
        </w:tc>
        <w:tc>
          <w:tcPr>
            <w:tcW w:w="373" w:type="pct"/>
            <w:shd w:val="clear" w:color="auto" w:fill="auto"/>
            <w:noWrap/>
            <w:vAlign w:val="center"/>
          </w:tcPr>
          <w:p>
            <w:pPr>
              <w:jc w:val="center"/>
              <w:rPr>
                <w:rFonts w:ascii="宋体" w:hAnsi="宋体" w:eastAsia="宋体"/>
                <w:szCs w:val="21"/>
                <w:highlight w:val="none"/>
              </w:rPr>
            </w:pP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且,≥100</w:t>
            </w:r>
          </w:p>
        </w:tc>
        <w:tc>
          <w:tcPr>
            <w:tcW w:w="373" w:type="pct"/>
            <w:shd w:val="clear" w:color="auto" w:fill="auto"/>
            <w:noWrap/>
            <w:vAlign w:val="center"/>
          </w:tcPr>
          <w:p>
            <w:pPr>
              <w:jc w:val="center"/>
              <w:rPr>
                <w:rFonts w:ascii="宋体" w:hAnsi="宋体" w:eastAsia="宋体"/>
                <w:szCs w:val="21"/>
                <w:highlight w:val="none"/>
              </w:rPr>
            </w:pP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或,＜100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165"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16</w:t>
            </w:r>
          </w:p>
        </w:tc>
        <w:tc>
          <w:tcPr>
            <w:tcW w:w="683" w:type="pct"/>
            <w:shd w:val="clear" w:color="auto" w:fill="auto"/>
            <w:vAlign w:val="center"/>
          </w:tcPr>
          <w:p>
            <w:pPr>
              <w:jc w:val="center"/>
              <w:rPr>
                <w:rFonts w:ascii="宋体" w:hAnsi="宋体" w:eastAsia="宋体"/>
                <w:szCs w:val="21"/>
                <w:highlight w:val="none"/>
              </w:rPr>
            </w:pPr>
            <w:r>
              <w:rPr>
                <w:rFonts w:hint="eastAsia" w:ascii="宋体" w:hAnsi="宋体" w:eastAsia="宋体"/>
                <w:szCs w:val="21"/>
                <w:highlight w:val="none"/>
              </w:rPr>
              <w:t>其他未列明行业</w:t>
            </w:r>
          </w:p>
        </w:tc>
        <w:tc>
          <w:tcPr>
            <w:tcW w:w="404" w:type="pct"/>
            <w:shd w:val="clear" w:color="auto" w:fill="auto"/>
            <w:noWrap/>
            <w:vAlign w:val="center"/>
          </w:tcPr>
          <w:p>
            <w:pPr>
              <w:jc w:val="center"/>
              <w:rPr>
                <w:rFonts w:ascii="宋体" w:hAnsi="宋体" w:eastAsia="宋体"/>
                <w:szCs w:val="21"/>
                <w:highlight w:val="none"/>
              </w:rPr>
            </w:pPr>
          </w:p>
        </w:tc>
        <w:tc>
          <w:tcPr>
            <w:tcW w:w="31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≥300</w:t>
            </w:r>
          </w:p>
        </w:tc>
        <w:tc>
          <w:tcPr>
            <w:tcW w:w="317"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p>
        </w:tc>
        <w:tc>
          <w:tcPr>
            <w:tcW w:w="317"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≥100</w:t>
            </w:r>
          </w:p>
        </w:tc>
        <w:tc>
          <w:tcPr>
            <w:tcW w:w="336"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p>
        </w:tc>
        <w:tc>
          <w:tcPr>
            <w:tcW w:w="323"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39" w:type="pct"/>
            <w:shd w:val="clear" w:color="auto" w:fill="auto"/>
            <w:noWrap/>
            <w:vAlign w:val="center"/>
          </w:tcPr>
          <w:p>
            <w:pPr>
              <w:jc w:val="center"/>
              <w:rPr>
                <w:rFonts w:ascii="宋体" w:hAnsi="宋体" w:eastAsia="宋体"/>
                <w:szCs w:val="21"/>
                <w:highlight w:val="none"/>
              </w:rPr>
            </w:pPr>
          </w:p>
        </w:tc>
        <w:tc>
          <w:tcPr>
            <w:tcW w:w="373" w:type="pct"/>
            <w:shd w:val="clear" w:color="auto" w:fill="auto"/>
            <w:noWrap/>
            <w:vAlign w:val="center"/>
          </w:tcPr>
          <w:p>
            <w:pPr>
              <w:jc w:val="center"/>
              <w:rPr>
                <w:rFonts w:ascii="宋体" w:hAnsi="宋体" w:eastAsia="宋体"/>
                <w:szCs w:val="21"/>
                <w:highlight w:val="none"/>
              </w:rPr>
            </w:pPr>
          </w:p>
        </w:tc>
        <w:tc>
          <w:tcPr>
            <w:tcW w:w="330" w:type="pct"/>
            <w:shd w:val="clear" w:color="auto" w:fill="auto"/>
            <w:noWrap/>
            <w:vAlign w:val="center"/>
          </w:tcPr>
          <w:p>
            <w:pPr>
              <w:jc w:val="center"/>
              <w:rPr>
                <w:rFonts w:ascii="宋体" w:hAnsi="宋体" w:eastAsia="宋体"/>
                <w:szCs w:val="21"/>
                <w:highlight w:val="none"/>
              </w:rPr>
            </w:pPr>
            <w:r>
              <w:rPr>
                <w:rFonts w:hint="eastAsia" w:ascii="宋体" w:hAnsi="宋体" w:eastAsia="宋体"/>
                <w:szCs w:val="21"/>
                <w:highlight w:val="none"/>
              </w:rPr>
              <w:t>＜10</w:t>
            </w:r>
          </w:p>
        </w:tc>
        <w:tc>
          <w:tcPr>
            <w:tcW w:w="357" w:type="pct"/>
            <w:shd w:val="clear" w:color="auto" w:fill="auto"/>
            <w:noWrap/>
            <w:vAlign w:val="center"/>
          </w:tcPr>
          <w:p>
            <w:pPr>
              <w:jc w:val="center"/>
              <w:rPr>
                <w:rFonts w:ascii="宋体" w:hAnsi="宋体" w:eastAsia="宋体"/>
                <w:szCs w:val="21"/>
                <w:highlight w:val="none"/>
              </w:rPr>
            </w:pPr>
          </w:p>
        </w:tc>
      </w:tr>
      <w:bookmarkEnd w:id="210"/>
    </w:tbl>
    <w:p>
      <w:pPr>
        <w:rPr>
          <w:highlight w:val="none"/>
        </w:rPr>
        <w:sectPr>
          <w:pgSz w:w="16840" w:h="11907"/>
          <w:pgMar w:top="1418" w:right="1418" w:bottom="1588" w:left="1418" w:header="851" w:footer="992" w:gutter="0"/>
          <w:cols w:space="425" w:num="1"/>
          <w:docGrid w:linePitch="312" w:charSpace="0"/>
        </w:sectPr>
      </w:pPr>
    </w:p>
    <w:p>
      <w:pPr>
        <w:jc w:val="center"/>
        <w:rPr>
          <w:rFonts w:ascii="宋体" w:hAnsi="宋体" w:eastAsia="宋体"/>
          <w:b/>
          <w:sz w:val="30"/>
          <w:szCs w:val="30"/>
          <w:highlight w:val="none"/>
        </w:rPr>
      </w:pPr>
      <w:r>
        <w:rPr>
          <w:rFonts w:hint="eastAsia" w:ascii="宋体" w:hAnsi="宋体" w:eastAsia="宋体"/>
          <w:b/>
          <w:sz w:val="30"/>
          <w:szCs w:val="30"/>
          <w:highlight w:val="none"/>
        </w:rPr>
        <w:t>残疾人福利性单位声明函</w:t>
      </w:r>
    </w:p>
    <w:p>
      <w:pPr>
        <w:rPr>
          <w:highlight w:val="none"/>
        </w:rPr>
      </w:pPr>
    </w:p>
    <w:p>
      <w:pPr>
        <w:adjustRightInd w:val="0"/>
        <w:snapToGrid w:val="0"/>
        <w:spacing w:line="360" w:lineRule="auto"/>
        <w:rPr>
          <w:rFonts w:ascii="宋体" w:hAnsi="宋体" w:eastAsia="宋体" w:cs="Times New Roman"/>
          <w:b/>
          <w:sz w:val="24"/>
          <w:szCs w:val="24"/>
          <w:highlight w:val="none"/>
        </w:rPr>
      </w:pPr>
      <w:r>
        <w:rPr>
          <w:rFonts w:hint="eastAsia" w:ascii="宋体" w:hAnsi="宋体" w:eastAsia="宋体" w:cs="Times New Roman"/>
          <w:b/>
          <w:sz w:val="24"/>
          <w:szCs w:val="24"/>
          <w:highlight w:val="none"/>
          <w:u w:val="single"/>
        </w:rPr>
        <w:t>　　　　　　　　</w:t>
      </w:r>
      <w:r>
        <w:rPr>
          <w:rFonts w:hint="eastAsia" w:ascii="宋体" w:hAnsi="宋体" w:eastAsia="宋体" w:cs="Times New Roman"/>
          <w:b/>
          <w:sz w:val="24"/>
          <w:szCs w:val="24"/>
          <w:highlight w:val="none"/>
        </w:rPr>
        <w:t>（采购人名称）：</w:t>
      </w:r>
    </w:p>
    <w:p>
      <w:pPr>
        <w:rPr>
          <w:highlight w:val="none"/>
        </w:rPr>
      </w:pPr>
    </w:p>
    <w:p>
      <w:pPr>
        <w:adjustRightInd w:val="0"/>
        <w:snapToGrid w:val="0"/>
        <w:spacing w:line="360" w:lineRule="auto"/>
        <w:ind w:firstLine="480" w:firstLineChars="200"/>
        <w:rPr>
          <w:rFonts w:cs="Times New Roman" w:asciiTheme="minorEastAsia" w:hAnsiTheme="minorEastAsia"/>
          <w:sz w:val="24"/>
          <w:szCs w:val="24"/>
          <w:highlight w:val="none"/>
          <w:lang w:eastAsia="zh-CN"/>
        </w:rPr>
      </w:pPr>
      <w:r>
        <w:rPr>
          <w:rFonts w:hint="eastAsia" w:cs="Times New Roman" w:asciiTheme="minorEastAsia" w:hAnsiTheme="minorEastAsia"/>
          <w:sz w:val="24"/>
          <w:szCs w:val="24"/>
          <w:highlight w:val="none"/>
          <w:lang w:eastAsia="zh-CN"/>
        </w:rPr>
        <w:t>本单位郑重声明，根据《财政部 民政部 中国残疾人联合会关于促进残疾人就业政府采购政策的通知》（财库〔2017〕141号）的规定，本单位为符合条件的残疾人福利性单位（详见“残疾人福利性单位应当满足的条件”），且本单位参加</w:t>
      </w:r>
      <w:r>
        <w:rPr>
          <w:rFonts w:hint="eastAsia" w:cs="Times New Roman" w:asciiTheme="minorEastAsia" w:hAnsiTheme="minorEastAsia"/>
          <w:sz w:val="24"/>
          <w:szCs w:val="24"/>
          <w:highlight w:val="none"/>
          <w:u w:val="single"/>
          <w:lang w:eastAsia="zh-CN"/>
        </w:rPr>
        <w:t xml:space="preserve">　（采购人） </w:t>
      </w:r>
      <w:r>
        <w:rPr>
          <w:rFonts w:hint="eastAsia" w:cs="Times New Roman" w:asciiTheme="minorEastAsia" w:hAnsiTheme="minorEastAsia"/>
          <w:sz w:val="24"/>
          <w:szCs w:val="24"/>
          <w:highlight w:val="none"/>
          <w:lang w:eastAsia="zh-CN"/>
        </w:rPr>
        <w:t>的</w:t>
      </w:r>
      <w:r>
        <w:rPr>
          <w:rFonts w:hint="eastAsia" w:cs="Times New Roman" w:asciiTheme="minorEastAsia" w:hAnsiTheme="minorEastAsia"/>
          <w:sz w:val="24"/>
          <w:szCs w:val="24"/>
          <w:highlight w:val="none"/>
          <w:u w:val="single"/>
          <w:lang w:eastAsia="zh-CN"/>
        </w:rPr>
        <w:t>　　　</w:t>
      </w:r>
      <w:r>
        <w:rPr>
          <w:rFonts w:hint="eastAsia" w:cs="Times New Roman" w:asciiTheme="minorEastAsia" w:hAnsiTheme="minorEastAsia"/>
          <w:sz w:val="24"/>
          <w:szCs w:val="24"/>
          <w:highlight w:val="none"/>
          <w:lang w:eastAsia="zh-CN"/>
        </w:rPr>
        <w:t>项目（项目编号：______）采购活动由本单位提供服务。</w:t>
      </w:r>
    </w:p>
    <w:p>
      <w:pPr>
        <w:adjustRightInd w:val="0"/>
        <w:snapToGrid w:val="0"/>
        <w:spacing w:line="360" w:lineRule="auto"/>
        <w:ind w:firstLine="480" w:firstLineChars="200"/>
        <w:rPr>
          <w:rFonts w:ascii="宋体" w:hAnsi="宋体" w:eastAsia="宋体" w:cs="Times New Roman"/>
          <w:sz w:val="24"/>
          <w:szCs w:val="24"/>
          <w:highlight w:val="none"/>
        </w:rPr>
      </w:pPr>
      <w:r>
        <w:rPr>
          <w:rFonts w:hint="eastAsia" w:ascii="宋体" w:hAnsi="宋体" w:eastAsia="宋体" w:cs="Times New Roman"/>
          <w:sz w:val="24"/>
          <w:szCs w:val="24"/>
          <w:highlight w:val="none"/>
        </w:rPr>
        <w:t>本单位对上述声明的真实性负责。如有虚假，将依法承担相应责任。</w:t>
      </w:r>
    </w:p>
    <w:p>
      <w:pPr>
        <w:rPr>
          <w:rFonts w:ascii="宋体" w:hAnsi="宋体" w:eastAsia="宋体"/>
          <w:highlight w:val="none"/>
        </w:rPr>
      </w:pPr>
    </w:p>
    <w:p>
      <w:pPr>
        <w:spacing w:line="360" w:lineRule="auto"/>
        <w:ind w:left="1091" w:hanging="1091" w:hangingChars="453"/>
        <w:jc w:val="left"/>
        <w:rPr>
          <w:rFonts w:ascii="宋体" w:hAnsi="宋体" w:cs="Courier New"/>
          <w:color w:val="0D0D0D" w:themeColor="text1" w:themeTint="F2"/>
          <w:sz w:val="24"/>
          <w:szCs w:val="21"/>
          <w:highlight w:val="none"/>
          <w14:textFill>
            <w14:solidFill>
              <w14:schemeClr w14:val="tx1">
                <w14:lumMod w14:val="95000"/>
                <w14:lumOff w14:val="5000"/>
              </w14:schemeClr>
            </w14:solidFill>
          </w14:textFill>
        </w:rPr>
      </w:pPr>
      <w:r>
        <w:rPr>
          <w:rFonts w:hint="eastAsia" w:ascii="宋体" w:hAnsi="宋体" w:cs="Courier New"/>
          <w:b/>
          <w:color w:val="0D0D0D" w:themeColor="text1" w:themeTint="F2"/>
          <w:sz w:val="24"/>
          <w:szCs w:val="21"/>
          <w:highlight w:val="none"/>
          <w14:textFill>
            <w14:solidFill>
              <w14:schemeClr w14:val="tx1">
                <w14:lumMod w14:val="95000"/>
                <w14:lumOff w14:val="5000"/>
              </w14:schemeClr>
            </w14:solidFill>
          </w14:textFill>
        </w:rPr>
        <w:t>说明：</w:t>
      </w:r>
      <w:r>
        <w:rPr>
          <w:rFonts w:hint="eastAsia" w:ascii="宋体" w:hAnsi="宋体" w:cs="Courier New"/>
          <w:color w:val="0D0D0D" w:themeColor="text1" w:themeTint="F2"/>
          <w:sz w:val="24"/>
          <w:szCs w:val="21"/>
          <w:highlight w:val="none"/>
          <w14:textFill>
            <w14:solidFill>
              <w14:schemeClr w14:val="tx1">
                <w14:lumMod w14:val="95000"/>
                <w14:lumOff w14:val="5000"/>
              </w14:schemeClr>
            </w14:solidFill>
          </w14:textFill>
        </w:rPr>
        <w:t>1、组成联合体的大中型企业和其他自然人、法人或者其他组织，与残疾人福利性单位之间不得存在投资关系。</w:t>
      </w:r>
    </w:p>
    <w:p>
      <w:pPr>
        <w:spacing w:line="360" w:lineRule="auto"/>
        <w:ind w:left="967" w:leftChars="400" w:hanging="127" w:hangingChars="53"/>
        <w:jc w:val="left"/>
        <w:rPr>
          <w:rFonts w:ascii="宋体" w:hAnsi="宋体" w:cs="Courier New"/>
          <w:bCs/>
          <w:color w:val="0D0D0D" w:themeColor="text1" w:themeTint="F2"/>
          <w:sz w:val="24"/>
          <w:szCs w:val="21"/>
          <w:highlight w:val="none"/>
          <w14:textFill>
            <w14:solidFill>
              <w14:schemeClr w14:val="tx1">
                <w14:lumMod w14:val="95000"/>
                <w14:lumOff w14:val="5000"/>
              </w14:schemeClr>
            </w14:solidFill>
          </w14:textFill>
        </w:rPr>
      </w:pPr>
      <w:r>
        <w:rPr>
          <w:rFonts w:hint="eastAsia" w:ascii="宋体" w:hAnsi="宋体" w:cs="Courier New"/>
          <w:bCs/>
          <w:color w:val="0D0D0D" w:themeColor="text1" w:themeTint="F2"/>
          <w:sz w:val="24"/>
          <w:szCs w:val="21"/>
          <w:highlight w:val="none"/>
          <w14:textFill>
            <w14:solidFill>
              <w14:schemeClr w14:val="tx1">
                <w14:lumMod w14:val="95000"/>
                <w14:lumOff w14:val="5000"/>
              </w14:schemeClr>
            </w14:solidFill>
          </w14:textFill>
        </w:rPr>
        <w:t>2、以联合体方式参与项目竞争的供应商，应由联合体双方签字盖章。</w:t>
      </w:r>
    </w:p>
    <w:p>
      <w:pPr>
        <w:rPr>
          <w:highlight w:val="none"/>
        </w:rPr>
      </w:pPr>
    </w:p>
    <w:p>
      <w:pPr>
        <w:rPr>
          <w:highlight w:val="none"/>
        </w:rPr>
      </w:pPr>
    </w:p>
    <w:p>
      <w:pPr>
        <w:rPr>
          <w:highlight w:val="none"/>
        </w:rPr>
      </w:pPr>
    </w:p>
    <w:p>
      <w:pPr>
        <w:adjustRightInd w:val="0"/>
        <w:snapToGrid w:val="0"/>
        <w:spacing w:line="480" w:lineRule="auto"/>
        <w:ind w:firstLine="3330" w:firstLineChars="1382"/>
        <w:rPr>
          <w:rFonts w:ascii="宋体" w:hAnsi="宋体" w:eastAsia="宋体" w:cs="Times New Roman"/>
          <w:b/>
          <w:bCs/>
          <w:sz w:val="24"/>
          <w:szCs w:val="21"/>
          <w:highlight w:val="none"/>
          <w:lang w:val="zh-CN" w:eastAsia="zh-CN"/>
        </w:rPr>
      </w:pPr>
      <w:r>
        <w:rPr>
          <w:rFonts w:hint="eastAsia" w:ascii="宋体" w:hAnsi="宋体" w:eastAsia="宋体" w:cs="Times New Roman"/>
          <w:b/>
          <w:bCs/>
          <w:sz w:val="24"/>
          <w:szCs w:val="21"/>
          <w:highlight w:val="none"/>
          <w:lang w:val="zh-CN"/>
        </w:rPr>
        <w:t>制造商</w:t>
      </w:r>
      <w:r>
        <w:rPr>
          <w:rFonts w:hint="eastAsia" w:ascii="宋体" w:hAnsi="宋体" w:eastAsia="宋体" w:cs="Times New Roman"/>
          <w:b/>
          <w:bCs/>
          <w:sz w:val="24"/>
          <w:szCs w:val="21"/>
          <w:highlight w:val="none"/>
          <w:lang w:val="zh-CN" w:eastAsia="zh-CN"/>
        </w:rPr>
        <w:t>：</w:t>
      </w:r>
      <w:r>
        <w:rPr>
          <w:rFonts w:hint="eastAsia" w:ascii="宋体" w:hAnsi="宋体" w:eastAsia="宋体" w:cs="Times New Roman"/>
          <w:b/>
          <w:bCs/>
          <w:sz w:val="24"/>
          <w:szCs w:val="21"/>
          <w:highlight w:val="none"/>
          <w:u w:val="single"/>
          <w:lang w:val="zh-CN" w:eastAsia="zh-CN"/>
        </w:rPr>
        <w:t>　　　　</w:t>
      </w:r>
      <w:r>
        <w:rPr>
          <w:rFonts w:hint="eastAsia" w:ascii="宋体" w:hAnsi="宋体" w:eastAsia="宋体" w:cs="Times New Roman"/>
          <w:b/>
          <w:bCs/>
          <w:sz w:val="24"/>
          <w:szCs w:val="21"/>
          <w:highlight w:val="none"/>
          <w:u w:val="single"/>
          <w:lang w:val="zh-CN"/>
        </w:rPr>
        <w:t>　　　</w:t>
      </w:r>
      <w:r>
        <w:rPr>
          <w:rFonts w:hint="eastAsia" w:ascii="宋体" w:hAnsi="宋体" w:eastAsia="宋体" w:cs="Times New Roman"/>
          <w:b/>
          <w:bCs/>
          <w:sz w:val="24"/>
          <w:szCs w:val="21"/>
          <w:highlight w:val="none"/>
          <w:u w:val="single"/>
          <w:lang w:val="zh-CN" w:eastAsia="zh-CN"/>
        </w:rPr>
        <w:t>　　</w:t>
      </w:r>
      <w:r>
        <w:rPr>
          <w:rFonts w:hint="eastAsia" w:ascii="宋体" w:hAnsi="宋体" w:eastAsia="宋体" w:cs="Times New Roman"/>
          <w:b/>
          <w:bCs/>
          <w:sz w:val="24"/>
          <w:szCs w:val="21"/>
          <w:highlight w:val="none"/>
          <w:u w:val="single"/>
          <w:lang w:val="zh-CN"/>
        </w:rPr>
        <w:t>　　</w:t>
      </w:r>
      <w:r>
        <w:rPr>
          <w:rFonts w:hint="eastAsia" w:ascii="宋体" w:hAnsi="宋体" w:eastAsia="宋体" w:cs="Times New Roman"/>
          <w:b/>
          <w:bCs/>
          <w:sz w:val="24"/>
          <w:szCs w:val="21"/>
          <w:highlight w:val="none"/>
          <w:u w:val="single"/>
          <w:lang w:val="zh-CN" w:eastAsia="zh-CN"/>
        </w:rPr>
        <w:t>　　　</w:t>
      </w:r>
      <w:r>
        <w:rPr>
          <w:rFonts w:hint="eastAsia" w:ascii="宋体" w:hAnsi="宋体" w:eastAsia="宋体" w:cs="Times New Roman"/>
          <w:b/>
          <w:bCs/>
          <w:sz w:val="24"/>
          <w:szCs w:val="21"/>
          <w:highlight w:val="none"/>
          <w:lang w:val="zh-CN" w:eastAsia="zh-CN"/>
        </w:rPr>
        <w:t>（公章）</w:t>
      </w:r>
    </w:p>
    <w:p>
      <w:pPr>
        <w:adjustRightInd w:val="0"/>
        <w:snapToGrid w:val="0"/>
        <w:spacing w:line="480" w:lineRule="auto"/>
        <w:ind w:firstLine="3330" w:firstLineChars="1382"/>
        <w:rPr>
          <w:rFonts w:ascii="宋体" w:hAnsi="宋体" w:eastAsia="宋体" w:cs="Times New Roman"/>
          <w:b/>
          <w:sz w:val="24"/>
          <w:szCs w:val="21"/>
          <w:highlight w:val="none"/>
          <w:lang w:val="zh-CN"/>
        </w:rPr>
      </w:pPr>
      <w:r>
        <w:rPr>
          <w:rFonts w:hint="eastAsia" w:ascii="宋体" w:hAnsi="宋体" w:eastAsia="宋体" w:cs="Times New Roman"/>
          <w:b/>
          <w:sz w:val="24"/>
          <w:szCs w:val="21"/>
          <w:highlight w:val="none"/>
          <w:lang w:val="zh-CN"/>
        </w:rPr>
        <w:t>供应商授权代表：</w:t>
      </w:r>
      <w:r>
        <w:rPr>
          <w:rFonts w:hint="eastAsia" w:ascii="宋体" w:hAnsi="宋体" w:eastAsia="宋体" w:cs="Times New Roman"/>
          <w:b/>
          <w:sz w:val="24"/>
          <w:szCs w:val="21"/>
          <w:highlight w:val="none"/>
          <w:u w:val="single"/>
          <w:lang w:val="zh-CN"/>
        </w:rPr>
        <w:t>　　　　　　　</w:t>
      </w:r>
      <w:r>
        <w:rPr>
          <w:rFonts w:hint="eastAsia" w:ascii="宋体" w:hAnsi="宋体" w:eastAsia="宋体" w:cs="Times New Roman"/>
          <w:b/>
          <w:sz w:val="24"/>
          <w:szCs w:val="21"/>
          <w:highlight w:val="none"/>
          <w:u w:val="single"/>
          <w:lang w:val="zh-CN" w:eastAsia="zh-CN"/>
        </w:rPr>
        <w:t>　　　</w:t>
      </w:r>
      <w:r>
        <w:rPr>
          <w:rFonts w:hint="eastAsia" w:ascii="宋体" w:hAnsi="宋体" w:eastAsia="宋体" w:cs="Times New Roman"/>
          <w:b/>
          <w:sz w:val="24"/>
          <w:szCs w:val="21"/>
          <w:highlight w:val="none"/>
          <w:lang w:val="zh-CN"/>
        </w:rPr>
        <w:t>（签字）</w:t>
      </w:r>
    </w:p>
    <w:p>
      <w:pPr>
        <w:adjustRightInd w:val="0"/>
        <w:snapToGrid w:val="0"/>
        <w:spacing w:line="480" w:lineRule="auto"/>
        <w:ind w:firstLine="3330" w:firstLineChars="1382"/>
        <w:rPr>
          <w:rFonts w:ascii="Times New Roman" w:hAnsi="宋体" w:eastAsia="宋体" w:cs="Times New Roman"/>
          <w:b/>
          <w:sz w:val="24"/>
          <w:szCs w:val="24"/>
          <w:highlight w:val="none"/>
          <w:u w:val="single"/>
        </w:rPr>
      </w:pPr>
      <w:r>
        <w:rPr>
          <w:rFonts w:hint="eastAsia" w:ascii="Times New Roman" w:hAnsi="宋体" w:eastAsia="宋体" w:cs="Times New Roman"/>
          <w:b/>
          <w:sz w:val="24"/>
          <w:szCs w:val="24"/>
          <w:highlight w:val="none"/>
        </w:rPr>
        <w:t>日</w:t>
      </w:r>
      <w:r>
        <w:rPr>
          <w:rFonts w:ascii="Times New Roman" w:hAnsi="宋体" w:eastAsia="宋体" w:cs="Times New Roman"/>
          <w:b/>
          <w:sz w:val="24"/>
          <w:szCs w:val="24"/>
          <w:highlight w:val="none"/>
        </w:rPr>
        <w:t>　</w:t>
      </w:r>
      <w:r>
        <w:rPr>
          <w:rFonts w:hint="eastAsia" w:ascii="Times New Roman" w:hAnsi="宋体" w:eastAsia="宋体" w:cs="Times New Roman"/>
          <w:b/>
          <w:sz w:val="24"/>
          <w:szCs w:val="24"/>
          <w:highlight w:val="none"/>
        </w:rPr>
        <w:t>期：</w:t>
      </w:r>
      <w:r>
        <w:rPr>
          <w:rFonts w:hint="eastAsia" w:ascii="宋体" w:hAnsi="宋体"/>
          <w:b/>
          <w:color w:val="000000" w:themeColor="text1"/>
          <w:sz w:val="24"/>
          <w:highlight w:val="none"/>
          <w:u w:val="single"/>
          <w14:textFill>
            <w14:solidFill>
              <w14:schemeClr w14:val="tx1"/>
            </w14:solidFill>
          </w14:textFill>
        </w:rPr>
        <w:t>　　　　　</w:t>
      </w:r>
      <w:r>
        <w:rPr>
          <w:rFonts w:hint="eastAsia" w:ascii="宋体" w:hAnsi="宋体"/>
          <w:b/>
          <w:color w:val="000000" w:themeColor="text1"/>
          <w:sz w:val="24"/>
          <w:highlight w:val="none"/>
          <w14:textFill>
            <w14:solidFill>
              <w14:schemeClr w14:val="tx1"/>
            </w14:solidFill>
          </w14:textFill>
        </w:rPr>
        <w:t>年</w:t>
      </w:r>
      <w:r>
        <w:rPr>
          <w:rFonts w:hint="eastAsia" w:ascii="宋体" w:hAnsi="宋体"/>
          <w:b/>
          <w:color w:val="000000" w:themeColor="text1"/>
          <w:sz w:val="24"/>
          <w:highlight w:val="none"/>
          <w:u w:val="single"/>
          <w14:textFill>
            <w14:solidFill>
              <w14:schemeClr w14:val="tx1"/>
            </w14:solidFill>
          </w14:textFill>
        </w:rPr>
        <w:t>　　</w:t>
      </w:r>
      <w:r>
        <w:rPr>
          <w:rFonts w:hint="eastAsia" w:ascii="宋体" w:hAnsi="宋体"/>
          <w:b/>
          <w:color w:val="000000" w:themeColor="text1"/>
          <w:sz w:val="24"/>
          <w:highlight w:val="none"/>
          <w14:textFill>
            <w14:solidFill>
              <w14:schemeClr w14:val="tx1"/>
            </w14:solidFill>
          </w14:textFill>
        </w:rPr>
        <w:t>月</w:t>
      </w:r>
      <w:r>
        <w:rPr>
          <w:rFonts w:hint="eastAsia" w:ascii="宋体" w:hAnsi="宋体"/>
          <w:b/>
          <w:color w:val="000000" w:themeColor="text1"/>
          <w:sz w:val="24"/>
          <w:highlight w:val="none"/>
          <w:u w:val="single"/>
          <w14:textFill>
            <w14:solidFill>
              <w14:schemeClr w14:val="tx1"/>
            </w14:solidFill>
          </w14:textFill>
        </w:rPr>
        <w:t>　　</w:t>
      </w:r>
      <w:r>
        <w:rPr>
          <w:rFonts w:hint="eastAsia" w:ascii="宋体" w:hAnsi="宋体"/>
          <w:b/>
          <w:color w:val="000000" w:themeColor="text1"/>
          <w:sz w:val="24"/>
          <w:highlight w:val="none"/>
          <w14:textFill>
            <w14:solidFill>
              <w14:schemeClr w14:val="tx1"/>
            </w14:solidFill>
          </w14:textFill>
        </w:rPr>
        <w:t>日</w:t>
      </w:r>
    </w:p>
    <w:p>
      <w:pPr>
        <w:widowControl/>
        <w:jc w:val="left"/>
        <w:rPr>
          <w:rFonts w:eastAsia="黑体" w:asciiTheme="majorHAnsi" w:hAnsiTheme="majorHAnsi" w:cstheme="majorBidi"/>
          <w:bCs/>
          <w:sz w:val="28"/>
          <w:szCs w:val="28"/>
          <w:highlight w:val="none"/>
        </w:rPr>
      </w:pPr>
      <w:r>
        <w:rPr>
          <w:rFonts w:asciiTheme="majorHAnsi" w:hAnsiTheme="majorHAnsi"/>
          <w:sz w:val="28"/>
          <w:szCs w:val="28"/>
          <w:highlight w:val="none"/>
        </w:rPr>
        <w:br w:type="page"/>
      </w:r>
    </w:p>
    <w:p>
      <w:pPr>
        <w:jc w:val="center"/>
        <w:rPr>
          <w:rFonts w:ascii="宋体" w:hAnsi="宋体" w:eastAsia="宋体"/>
          <w:b/>
          <w:sz w:val="30"/>
          <w:szCs w:val="30"/>
          <w:highlight w:val="none"/>
        </w:rPr>
      </w:pPr>
      <w:r>
        <w:rPr>
          <w:rFonts w:hint="eastAsia" w:ascii="宋体" w:hAnsi="宋体" w:eastAsia="宋体"/>
          <w:b/>
          <w:sz w:val="30"/>
          <w:szCs w:val="30"/>
          <w:highlight w:val="none"/>
        </w:rPr>
        <w:t>享受政府采购支持政策的残疾人福利性单位的标准</w:t>
      </w:r>
    </w:p>
    <w:p>
      <w:pPr>
        <w:rPr>
          <w:highlight w:val="none"/>
        </w:rPr>
      </w:pPr>
    </w:p>
    <w:p>
      <w:pPr>
        <w:spacing w:before="240" w:beforeLines="100" w:after="240" w:afterLines="100"/>
        <w:jc w:val="left"/>
        <w:rPr>
          <w:rFonts w:ascii="宋体" w:hAnsi="宋体" w:eastAsia="宋体"/>
          <w:b/>
          <w:sz w:val="24"/>
          <w:szCs w:val="24"/>
          <w:highlight w:val="none"/>
        </w:rPr>
      </w:pPr>
      <w:r>
        <w:rPr>
          <w:rFonts w:hint="eastAsia" w:ascii="宋体" w:hAnsi="宋体" w:eastAsia="宋体"/>
          <w:b/>
          <w:sz w:val="24"/>
          <w:szCs w:val="24"/>
          <w:highlight w:val="none"/>
        </w:rPr>
        <w:t>享受政府采购支持政策的残疾人福利性单位应当同时满足以下条件：</w:t>
      </w:r>
    </w:p>
    <w:p>
      <w:pPr>
        <w:pStyle w:val="50"/>
        <w:numPr>
          <w:ilvl w:val="0"/>
          <w:numId w:val="26"/>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安置的残疾人占本单位在职职工人数的比例不低于25%（含25%），并且安置的残疾人人数不少于10人（含10人）；</w:t>
      </w:r>
    </w:p>
    <w:p>
      <w:pPr>
        <w:pStyle w:val="50"/>
        <w:numPr>
          <w:ilvl w:val="0"/>
          <w:numId w:val="26"/>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依法与安置的每位残疾人签订了一年以上（含一年）的劳动合同或服务协议；</w:t>
      </w:r>
    </w:p>
    <w:p>
      <w:pPr>
        <w:pStyle w:val="50"/>
        <w:numPr>
          <w:ilvl w:val="0"/>
          <w:numId w:val="26"/>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为安置的每位残疾人按月足额缴纳了基本养老保险、基本医疗保险、失业保险、工伤保险和生育保险等社会保险费；</w:t>
      </w:r>
    </w:p>
    <w:p>
      <w:pPr>
        <w:pStyle w:val="50"/>
        <w:numPr>
          <w:ilvl w:val="0"/>
          <w:numId w:val="26"/>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通过银行等金融机构向安置的每位残疾人，按月支付了不低于单位所在区县适用的经省级人民政府批准的月最低工资标准的工资；</w:t>
      </w:r>
    </w:p>
    <w:p>
      <w:pPr>
        <w:pStyle w:val="50"/>
        <w:numPr>
          <w:ilvl w:val="0"/>
          <w:numId w:val="26"/>
        </w:numPr>
        <w:spacing w:line="360" w:lineRule="auto"/>
        <w:ind w:left="0" w:firstLine="480"/>
        <w:rPr>
          <w:rFonts w:ascii="宋体" w:hAnsi="宋体" w:eastAsia="宋体" w:cs="Times New Roman"/>
          <w:sz w:val="24"/>
          <w:szCs w:val="24"/>
          <w:highlight w:val="none"/>
        </w:rPr>
      </w:pPr>
      <w:r>
        <w:rPr>
          <w:rFonts w:hint="eastAsia" w:ascii="宋体" w:hAnsi="宋体" w:eastAsia="宋体" w:cs="Times New Roman"/>
          <w:sz w:val="24"/>
          <w:szCs w:val="24"/>
          <w:highlight w:val="none"/>
        </w:rPr>
        <w:t>提供本单位制造的货物、承担的工程或者服务（以下简称产品），或者提供其他残疾人福利性单位制造的货物（不包括使用非残疾人福利性单位注册商标的货物）。</w:t>
      </w:r>
    </w:p>
    <w:p>
      <w:pPr>
        <w:spacing w:line="360" w:lineRule="auto"/>
        <w:ind w:firstLine="480" w:firstLineChars="200"/>
        <w:rPr>
          <w:highlight w:val="none"/>
        </w:rPr>
      </w:pPr>
      <w:r>
        <w:rPr>
          <w:rFonts w:hint="eastAsia" w:ascii="宋体" w:hAnsi="宋体" w:eastAsia="宋体" w:cs="Times New Roman"/>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bookmarkEnd w:id="8"/>
      <w:bookmarkEnd w:id="209"/>
    </w:p>
    <w:sectPr>
      <w:pgSz w:w="11907" w:h="16840"/>
      <w:pgMar w:top="1418" w:right="1418" w:bottom="1418" w:left="158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Cambria">
    <w:panose1 w:val="02040503050406030204"/>
    <w:charset w:val="00"/>
    <w:family w:val="roman"/>
    <w:pitch w:val="default"/>
    <w:sig w:usb0="E00002FF" w:usb1="400004FF" w:usb2="00000000" w:usb3="00000000" w:csb0="2000019F"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orbel">
    <w:panose1 w:val="020B0503020204020204"/>
    <w:charset w:val="00"/>
    <w:family w:val="swiss"/>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1"/>
        <w:szCs w:val="21"/>
      </w:rPr>
      <w:id w:val="370501305"/>
      <w:docPartObj>
        <w:docPartGallery w:val="autotext"/>
      </w:docPartObj>
    </w:sdtPr>
    <w:sdtEndPr>
      <w:rPr>
        <w:rFonts w:ascii="宋体" w:hAnsi="宋体" w:eastAsia="宋体"/>
        <w:sz w:val="21"/>
        <w:szCs w:val="21"/>
      </w:rPr>
    </w:sdtEndPr>
    <w:sdtContent>
      <w:p>
        <w:pPr>
          <w:pStyle w:val="23"/>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2</w:t>
        </w:r>
        <w:r>
          <w:rPr>
            <w:rFonts w:ascii="宋体" w:hAnsi="宋体" w:eastAsia="宋体"/>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9D74A"/>
    <w:multiLevelType w:val="multilevel"/>
    <w:tmpl w:val="8819D74A"/>
    <w:lvl w:ilvl="0" w:tentative="0">
      <w:start w:val="1"/>
      <w:numFmt w:val="decimal"/>
      <w:lvlText w:val="1.16.%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8C3E431F"/>
    <w:multiLevelType w:val="multilevel"/>
    <w:tmpl w:val="8C3E431F"/>
    <w:lvl w:ilvl="0" w:tentative="0">
      <w:start w:val="1"/>
      <w:numFmt w:val="decimal"/>
      <w:lvlText w:val="1.6.%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8D170974"/>
    <w:multiLevelType w:val="multilevel"/>
    <w:tmpl w:val="8D170974"/>
    <w:lvl w:ilvl="0" w:tentative="0">
      <w:start w:val="1"/>
      <w:numFmt w:val="decimal"/>
      <w:lvlText w:val="1.12.%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961BD4DF"/>
    <w:multiLevelType w:val="multilevel"/>
    <w:tmpl w:val="961BD4DF"/>
    <w:lvl w:ilvl="0" w:tentative="0">
      <w:start w:val="1"/>
      <w:numFmt w:val="decimal"/>
      <w:lvlText w:val="1.4.%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A40774ED"/>
    <w:multiLevelType w:val="multilevel"/>
    <w:tmpl w:val="A40774ED"/>
    <w:lvl w:ilvl="0" w:tentative="0">
      <w:start w:val="1"/>
      <w:numFmt w:val="decimal"/>
      <w:lvlText w:val="1.13.%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C41E9E4B"/>
    <w:multiLevelType w:val="multilevel"/>
    <w:tmpl w:val="C41E9E4B"/>
    <w:lvl w:ilvl="0" w:tentative="0">
      <w:start w:val="1"/>
      <w:numFmt w:val="decimal"/>
      <w:lvlText w:val="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CA780894"/>
    <w:multiLevelType w:val="multilevel"/>
    <w:tmpl w:val="CA780894"/>
    <w:lvl w:ilvl="0" w:tentative="0">
      <w:start w:val="1"/>
      <w:numFmt w:val="decimal"/>
      <w:lvlText w:val="1.1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D0407177"/>
    <w:multiLevelType w:val="multilevel"/>
    <w:tmpl w:val="D0407177"/>
    <w:lvl w:ilvl="0" w:tentative="0">
      <w:start w:val="1"/>
      <w:numFmt w:val="decimal"/>
      <w:lvlText w:val="1.8.%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D27ECCF7"/>
    <w:multiLevelType w:val="multilevel"/>
    <w:tmpl w:val="D27ECCF7"/>
    <w:lvl w:ilvl="0" w:tentative="0">
      <w:start w:val="1"/>
      <w:numFmt w:val="decimal"/>
      <w:lvlText w:val="1.2.%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EDD39A5C"/>
    <w:multiLevelType w:val="multilevel"/>
    <w:tmpl w:val="EDD39A5C"/>
    <w:lvl w:ilvl="0" w:tentative="0">
      <w:start w:val="1"/>
      <w:numFmt w:val="decimal"/>
      <w:lvlText w:val="1.3.%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0">
    <w:nsid w:val="EE58B434"/>
    <w:multiLevelType w:val="multilevel"/>
    <w:tmpl w:val="EE58B434"/>
    <w:lvl w:ilvl="0" w:tentative="0">
      <w:start w:val="1"/>
      <w:numFmt w:val="decimal"/>
      <w:lvlText w:val="1.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F2408A82"/>
    <w:multiLevelType w:val="multilevel"/>
    <w:tmpl w:val="F2408A82"/>
    <w:lvl w:ilvl="0" w:tentative="0">
      <w:start w:val="1"/>
      <w:numFmt w:val="decimal"/>
      <w:lvlText w:val="1.5.%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F4F2C84D"/>
    <w:multiLevelType w:val="multilevel"/>
    <w:tmpl w:val="F4F2C84D"/>
    <w:lvl w:ilvl="0" w:tentative="0">
      <w:start w:val="1"/>
      <w:numFmt w:val="decimal"/>
      <w:lvlText w:val="1.15.%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3">
    <w:nsid w:val="02845248"/>
    <w:multiLevelType w:val="multilevel"/>
    <w:tmpl w:val="02845248"/>
    <w:lvl w:ilvl="0" w:tentative="0">
      <w:start w:val="1"/>
      <w:numFmt w:val="decimal"/>
      <w:lvlText w:val="1.9.%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4">
    <w:nsid w:val="1189778E"/>
    <w:multiLevelType w:val="multilevel"/>
    <w:tmpl w:val="1189778E"/>
    <w:lvl w:ilvl="0" w:tentative="0">
      <w:start w:val="1"/>
      <w:numFmt w:val="chineseCountingThousand"/>
      <w:pStyle w:val="3"/>
      <w:suff w:val="nothing"/>
      <w:lvlText w:val="第%1章 "/>
      <w:lvlJc w:val="left"/>
      <w:pPr>
        <w:ind w:left="0" w:firstLine="0"/>
      </w:pPr>
      <w:rPr>
        <w:rFonts w:hint="eastAsia" w:ascii="黑体" w:hAnsi="黑体" w:eastAsia="黑体"/>
        <w:b w:val="0"/>
        <w:i w:val="0"/>
        <w:sz w:val="36"/>
      </w:rPr>
    </w:lvl>
    <w:lvl w:ilvl="1" w:tentative="0">
      <w:start w:val="1"/>
      <w:numFmt w:val="chineseCountingThousand"/>
      <w:pStyle w:val="4"/>
      <w:suff w:val="nothing"/>
      <w:lvlText w:val="%2、"/>
      <w:lvlJc w:val="left"/>
      <w:pPr>
        <w:ind w:left="0" w:firstLine="0"/>
      </w:pPr>
      <w:rPr>
        <w:rFonts w:hint="default" w:ascii="Times New Roman" w:hAnsi="Times New Roman" w:eastAsia="黑体"/>
        <w:b w:val="0"/>
        <w:i w:val="0"/>
        <w:sz w:val="32"/>
      </w:rPr>
    </w:lvl>
    <w:lvl w:ilvl="2" w:tentative="0">
      <w:start w:val="1"/>
      <w:numFmt w:val="decimal"/>
      <w:pStyle w:val="5"/>
      <w:suff w:val="nothing"/>
      <w:lvlText w:val="%3."/>
      <w:lvlJc w:val="left"/>
      <w:pPr>
        <w:ind w:left="0" w:firstLine="0"/>
      </w:pPr>
      <w:rPr>
        <w:rFonts w:hint="default" w:ascii="Times New Roman" w:hAnsi="Times New Roman" w:eastAsia="黑体"/>
        <w:b w:val="0"/>
        <w:i w:val="0"/>
        <w:sz w:val="30"/>
      </w:rPr>
    </w:lvl>
    <w:lvl w:ilvl="3" w:tentative="0">
      <w:start w:val="1"/>
      <w:numFmt w:val="decimal"/>
      <w:pStyle w:val="2"/>
      <w:suff w:val="nothing"/>
      <w:lvlText w:val="%3.%4 "/>
      <w:lvlJc w:val="left"/>
      <w:pPr>
        <w:ind w:left="0" w:firstLine="0"/>
      </w:pPr>
      <w:rPr>
        <w:rFonts w:hint="default" w:ascii="Times New Roman" w:hAnsi="Times New Roman" w:eastAsia="宋体"/>
        <w:b w:val="0"/>
        <w:i w:val="0"/>
        <w:sz w:val="28"/>
      </w:rPr>
    </w:lvl>
    <w:lvl w:ilvl="4" w:tentative="0">
      <w:start w:val="1"/>
      <w:numFmt w:val="decimal"/>
      <w:pStyle w:val="6"/>
      <w:suff w:val="nothing"/>
      <w:lvlText w:val="%3.%4.%5 "/>
      <w:lvlJc w:val="left"/>
      <w:pPr>
        <w:ind w:left="0" w:firstLine="0"/>
      </w:pPr>
      <w:rPr>
        <w:rFonts w:hint="default" w:ascii="Times New Roman" w:hAnsi="Times New Roman" w:eastAsia="宋体"/>
        <w:b w:val="0"/>
        <w:i w:val="0"/>
        <w:sz w:val="24"/>
      </w:rPr>
    </w:lvl>
    <w:lvl w:ilvl="5" w:tentative="0">
      <w:start w:val="1"/>
      <w:numFmt w:val="decimal"/>
      <w:pStyle w:val="7"/>
      <w:suff w:val="nothing"/>
      <w:lvlText w:val="%3.%4.%5.%6 "/>
      <w:lvlJc w:val="left"/>
      <w:pPr>
        <w:ind w:left="0" w:firstLine="0"/>
      </w:pPr>
      <w:rPr>
        <w:rFonts w:hint="default" w:ascii="Times New Roman" w:hAnsi="Times New Roman" w:eastAsia="宋体"/>
        <w:b w:val="0"/>
        <w:i w:val="0"/>
        <w:sz w:val="24"/>
      </w:rPr>
    </w:lvl>
    <w:lvl w:ilvl="6" w:tentative="0">
      <w:start w:val="1"/>
      <w:numFmt w:val="decimal"/>
      <w:pStyle w:val="8"/>
      <w:suff w:val="nothing"/>
      <w:lvlText w:val="%3.%4.%5.%6.%7 "/>
      <w:lvlJc w:val="left"/>
      <w:pPr>
        <w:ind w:left="0" w:firstLine="0"/>
      </w:pPr>
      <w:rPr>
        <w:rFonts w:hint="default" w:ascii="Times New Roman" w:hAnsi="Times New Roman" w:eastAsia="宋体"/>
        <w:b w:val="0"/>
        <w:i w:val="0"/>
        <w:sz w:val="24"/>
      </w:rPr>
    </w:lvl>
    <w:lvl w:ilvl="7" w:tentative="0">
      <w:start w:val="1"/>
      <w:numFmt w:val="decimal"/>
      <w:pStyle w:val="9"/>
      <w:suff w:val="nothing"/>
      <w:lvlText w:val="%3.%4.%5.%6.%7.%8 "/>
      <w:lvlJc w:val="left"/>
      <w:pPr>
        <w:ind w:left="0" w:firstLine="0"/>
      </w:pPr>
      <w:rPr>
        <w:rFonts w:hint="default" w:ascii="Times New Roman" w:hAnsi="Times New Roman" w:eastAsia="宋体"/>
        <w:b w:val="0"/>
        <w:i w:val="0"/>
        <w:sz w:val="24"/>
      </w:rPr>
    </w:lvl>
    <w:lvl w:ilvl="8" w:tentative="0">
      <w:start w:val="1"/>
      <w:numFmt w:val="decimal"/>
      <w:pStyle w:val="10"/>
      <w:suff w:val="nothing"/>
      <w:lvlText w:val="%3.%4.%5.%6.%7.%8.%9 "/>
      <w:lvlJc w:val="left"/>
      <w:pPr>
        <w:ind w:left="0" w:firstLine="0"/>
      </w:pPr>
      <w:rPr>
        <w:rFonts w:hint="default" w:ascii="Times New Roman" w:hAnsi="Times New Roman" w:eastAsia="宋体"/>
        <w:b w:val="0"/>
        <w:i w:val="0"/>
        <w:sz w:val="21"/>
      </w:rPr>
    </w:lvl>
  </w:abstractNum>
  <w:abstractNum w:abstractNumId="15">
    <w:nsid w:val="18C91456"/>
    <w:multiLevelType w:val="multilevel"/>
    <w:tmpl w:val="18C91456"/>
    <w:lvl w:ilvl="0" w:tentative="0">
      <w:start w:val="1"/>
      <w:numFmt w:val="decimal"/>
      <w:lvlText w:val="3.%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962DA22"/>
    <w:multiLevelType w:val="multilevel"/>
    <w:tmpl w:val="1962DA22"/>
    <w:lvl w:ilvl="0" w:tentative="0">
      <w:start w:val="1"/>
      <w:numFmt w:val="decimal"/>
      <w:lvlText w:val="1.14.%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7">
    <w:nsid w:val="1FFAE98A"/>
    <w:multiLevelType w:val="multilevel"/>
    <w:tmpl w:val="1FFAE98A"/>
    <w:lvl w:ilvl="0" w:tentative="0">
      <w:start w:val="1"/>
      <w:numFmt w:val="decimal"/>
      <w:lvlText w:val="%1."/>
      <w:lvlJc w:val="left"/>
      <w:pPr>
        <w:ind w:left="425" w:hanging="425"/>
      </w:pPr>
      <w:rPr>
        <w:rFonts w:hint="default"/>
      </w:rPr>
    </w:lvl>
    <w:lvl w:ilvl="1" w:tentative="0">
      <w:start w:val="1"/>
      <w:numFmt w:val="decimal"/>
      <w:lvlText w:val="2.%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24CA1C3B"/>
    <w:multiLevelType w:val="multilevel"/>
    <w:tmpl w:val="24CA1C3B"/>
    <w:lvl w:ilvl="0" w:tentative="0">
      <w:start w:val="1"/>
      <w:numFmt w:val="decimal"/>
      <w:lvlText w:val="%1、"/>
      <w:lvlJc w:val="left"/>
      <w:pPr>
        <w:ind w:left="900" w:hanging="420"/>
      </w:pPr>
      <w:rPr>
        <w:rFonts w:hint="eastAsia"/>
        <w:sz w:val="32"/>
        <w:szCs w:val="32"/>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3020AE6"/>
    <w:multiLevelType w:val="multilevel"/>
    <w:tmpl w:val="33020AE6"/>
    <w:lvl w:ilvl="0" w:tentative="0">
      <w:start w:val="1"/>
      <w:numFmt w:val="decimal"/>
      <w:lvlText w:val="%1"/>
      <w:lvlJc w:val="left"/>
      <w:pPr>
        <w:ind w:left="420" w:hanging="420"/>
      </w:pPr>
      <w:rPr>
        <w:rFonts w:hint="eastAsia" w:ascii="宋体" w:hAnsi="宋体" w:eastAsia="宋体"/>
        <w:b w:val="0"/>
        <w:i w:val="0"/>
        <w:color w:val="auto"/>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4AD45F94"/>
    <w:multiLevelType w:val="multilevel"/>
    <w:tmpl w:val="4AD45F94"/>
    <w:lvl w:ilvl="0" w:tentative="0">
      <w:start w:val="1"/>
      <w:numFmt w:val="decimal"/>
      <w:lvlText w:val="%1."/>
      <w:lvlJc w:val="left"/>
      <w:pPr>
        <w:ind w:left="425" w:hanging="425"/>
      </w:pPr>
      <w:rPr>
        <w:rFonts w:hint="eastAsia" w:ascii="宋体" w:hAnsi="宋体" w:eastAsia="宋体"/>
      </w:rPr>
    </w:lvl>
    <w:lvl w:ilvl="1" w:tentative="0">
      <w:start w:val="1"/>
      <w:numFmt w:val="decimal"/>
      <w:lvlText w:val="%1.%2."/>
      <w:lvlJc w:val="left"/>
      <w:pPr>
        <w:ind w:left="567" w:hanging="567"/>
      </w:pPr>
      <w:rPr>
        <w:rFonts w:hint="default" w:ascii="Times New Roman" w:hAnsi="Times New Roman" w:cs="Times New Roman"/>
      </w:rPr>
    </w:lvl>
    <w:lvl w:ilvl="2" w:tentative="0">
      <w:start w:val="1"/>
      <w:numFmt w:val="decimal"/>
      <w:lvlText w:val="%1.%2.%3."/>
      <w:lvlJc w:val="left"/>
      <w:pPr>
        <w:ind w:left="709" w:hanging="709"/>
      </w:pPr>
      <w:rPr>
        <w:rFonts w:hint="default" w:ascii="Times New Roman" w:hAnsi="Times New Roman" w:cs="Times New Roman"/>
      </w:rPr>
    </w:lvl>
    <w:lvl w:ilvl="3" w:tentative="0">
      <w:start w:val="1"/>
      <w:numFmt w:val="decimal"/>
      <w:lvlText w:val="%1.%2.%3.%4."/>
      <w:lvlJc w:val="left"/>
      <w:pPr>
        <w:ind w:left="851" w:hanging="851"/>
      </w:pPr>
      <w:rPr>
        <w:rFonts w:hint="default" w:ascii="Times New Roman" w:hAnsi="Times New Roman" w:cs="Times New Roman"/>
      </w:rPr>
    </w:lvl>
    <w:lvl w:ilvl="4" w:tentative="0">
      <w:start w:val="1"/>
      <w:numFmt w:val="decimal"/>
      <w:lvlText w:val="%1.%2.%3.%4.%5."/>
      <w:lvlJc w:val="left"/>
      <w:pPr>
        <w:ind w:left="992" w:hanging="992"/>
      </w:pPr>
      <w:rPr>
        <w:rFonts w:hint="default" w:ascii="Times New Roman" w:hAnsi="Times New Roman" w:cs="Times New Roman"/>
      </w:rPr>
    </w:lvl>
    <w:lvl w:ilvl="5" w:tentative="0">
      <w:start w:val="1"/>
      <w:numFmt w:val="decimal"/>
      <w:lvlText w:val="%1.%2.%3.%4.%5.%6."/>
      <w:lvlJc w:val="left"/>
      <w:pPr>
        <w:ind w:left="1134" w:hanging="1134"/>
      </w:pPr>
      <w:rPr>
        <w:rFonts w:hint="default" w:ascii="Times New Roman" w:hAnsi="Times New Roman" w:cs="Times New Roman"/>
      </w:rPr>
    </w:lvl>
    <w:lvl w:ilvl="6" w:tentative="0">
      <w:start w:val="1"/>
      <w:numFmt w:val="decimal"/>
      <w:lvlText w:val="%1.%2.%3.%4.%5.%6.%7."/>
      <w:lvlJc w:val="left"/>
      <w:pPr>
        <w:ind w:left="1276" w:hanging="1276"/>
      </w:pPr>
      <w:rPr>
        <w:rFonts w:hint="default" w:ascii="Times New Roman" w:hAnsi="Times New Roman" w:cs="Times New Roman"/>
      </w:rPr>
    </w:lvl>
    <w:lvl w:ilvl="7" w:tentative="0">
      <w:start w:val="1"/>
      <w:numFmt w:val="decimal"/>
      <w:lvlText w:val="%1.%2.%3.%4.%5.%6.%7.%8."/>
      <w:lvlJc w:val="left"/>
      <w:pPr>
        <w:ind w:left="1418" w:hanging="1418"/>
      </w:pPr>
      <w:rPr>
        <w:rFonts w:hint="default" w:ascii="Times New Roman" w:hAnsi="Times New Roman" w:cs="Times New Roman"/>
      </w:rPr>
    </w:lvl>
    <w:lvl w:ilvl="8" w:tentative="0">
      <w:start w:val="1"/>
      <w:numFmt w:val="decimal"/>
      <w:lvlText w:val="%1.%2.%3.%4.%5.%6.%7.%8.%9."/>
      <w:lvlJc w:val="left"/>
      <w:pPr>
        <w:ind w:left="1559" w:hanging="1559"/>
      </w:pPr>
      <w:rPr>
        <w:rFonts w:hint="default" w:ascii="Times New Roman" w:hAnsi="Times New Roman" w:cs="Times New Roman"/>
      </w:rPr>
    </w:lvl>
  </w:abstractNum>
  <w:abstractNum w:abstractNumId="21">
    <w:nsid w:val="5BD83A65"/>
    <w:multiLevelType w:val="multilevel"/>
    <w:tmpl w:val="5BD83A6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C6B67A2"/>
    <w:multiLevelType w:val="multilevel"/>
    <w:tmpl w:val="5C6B67A2"/>
    <w:lvl w:ilvl="0" w:tentative="0">
      <w:start w:val="1"/>
      <w:numFmt w:val="decimal"/>
      <w:lvlText w:val="1.10.%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3">
    <w:nsid w:val="64031BD7"/>
    <w:multiLevelType w:val="multilevel"/>
    <w:tmpl w:val="64031BD7"/>
    <w:lvl w:ilvl="0" w:tentative="0">
      <w:start w:val="1"/>
      <w:numFmt w:val="chineseCountingThousand"/>
      <w:lvlText w:val="（%1）"/>
      <w:lvlJc w:val="left"/>
      <w:pPr>
        <w:ind w:left="90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7DA45AF2"/>
    <w:multiLevelType w:val="multilevel"/>
    <w:tmpl w:val="7DA45AF2"/>
    <w:lvl w:ilvl="0" w:tentative="0">
      <w:start w:val="1"/>
      <w:numFmt w:val="decimal"/>
      <w:lvlText w:val="1.7.%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4"/>
  </w:num>
  <w:num w:numId="2">
    <w:abstractNumId w:val="19"/>
  </w:num>
  <w:num w:numId="3">
    <w:abstractNumId w:val="21"/>
  </w:num>
  <w:num w:numId="4">
    <w:abstractNumId w:val="5"/>
  </w:num>
  <w:num w:numId="5">
    <w:abstractNumId w:val="10"/>
  </w:num>
  <w:num w:numId="6">
    <w:abstractNumId w:val="8"/>
  </w:num>
  <w:num w:numId="7">
    <w:abstractNumId w:val="9"/>
  </w:num>
  <w:num w:numId="8">
    <w:abstractNumId w:val="3"/>
  </w:num>
  <w:num w:numId="9">
    <w:abstractNumId w:val="11"/>
  </w:num>
  <w:num w:numId="10">
    <w:abstractNumId w:val="1"/>
  </w:num>
  <w:num w:numId="11">
    <w:abstractNumId w:val="24"/>
  </w:num>
  <w:num w:numId="12">
    <w:abstractNumId w:val="7"/>
  </w:num>
  <w:num w:numId="13">
    <w:abstractNumId w:val="13"/>
  </w:num>
  <w:num w:numId="14">
    <w:abstractNumId w:val="22"/>
  </w:num>
  <w:num w:numId="15">
    <w:abstractNumId w:val="6"/>
  </w:num>
  <w:num w:numId="16">
    <w:abstractNumId w:val="2"/>
  </w:num>
  <w:num w:numId="17">
    <w:abstractNumId w:val="4"/>
  </w:num>
  <w:num w:numId="18">
    <w:abstractNumId w:val="16"/>
  </w:num>
  <w:num w:numId="19">
    <w:abstractNumId w:val="12"/>
  </w:num>
  <w:num w:numId="20">
    <w:abstractNumId w:val="0"/>
  </w:num>
  <w:num w:numId="21">
    <w:abstractNumId w:val="20"/>
    <w:lvlOverride w:ilvl="0">
      <w:startOverride w:val="1"/>
    </w:lvlOverride>
  </w:num>
  <w:num w:numId="22">
    <w:abstractNumId w:val="20"/>
    <w:lvlOverride w:ilvl="1">
      <w:startOverride w:val="1"/>
    </w:lvlOverride>
  </w:num>
  <w:num w:numId="23">
    <w:abstractNumId w:val="17"/>
  </w:num>
  <w:num w:numId="24">
    <w:abstractNumId w:val="15"/>
  </w:num>
  <w:num w:numId="25">
    <w:abstractNumId w:val="1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E5"/>
    <w:rsid w:val="000029EE"/>
    <w:rsid w:val="00010812"/>
    <w:rsid w:val="000108F4"/>
    <w:rsid w:val="00021EC1"/>
    <w:rsid w:val="0002493E"/>
    <w:rsid w:val="00034A52"/>
    <w:rsid w:val="00061E5D"/>
    <w:rsid w:val="00086083"/>
    <w:rsid w:val="0009413B"/>
    <w:rsid w:val="000A0A1B"/>
    <w:rsid w:val="000B522E"/>
    <w:rsid w:val="000C79B1"/>
    <w:rsid w:val="000D418A"/>
    <w:rsid w:val="000D5304"/>
    <w:rsid w:val="000E7B9F"/>
    <w:rsid w:val="000F1831"/>
    <w:rsid w:val="00167605"/>
    <w:rsid w:val="00172D1E"/>
    <w:rsid w:val="00182869"/>
    <w:rsid w:val="00184EC1"/>
    <w:rsid w:val="001B2AC1"/>
    <w:rsid w:val="001D1335"/>
    <w:rsid w:val="001D24C2"/>
    <w:rsid w:val="001D54A1"/>
    <w:rsid w:val="001E2BDE"/>
    <w:rsid w:val="001F03AA"/>
    <w:rsid w:val="002018B0"/>
    <w:rsid w:val="002028DA"/>
    <w:rsid w:val="00214690"/>
    <w:rsid w:val="0021677E"/>
    <w:rsid w:val="002220A0"/>
    <w:rsid w:val="002509D9"/>
    <w:rsid w:val="00256ECB"/>
    <w:rsid w:val="0025770F"/>
    <w:rsid w:val="00257D04"/>
    <w:rsid w:val="00270D21"/>
    <w:rsid w:val="00276C43"/>
    <w:rsid w:val="00293015"/>
    <w:rsid w:val="0029540B"/>
    <w:rsid w:val="002C210F"/>
    <w:rsid w:val="002C55B6"/>
    <w:rsid w:val="002E36D2"/>
    <w:rsid w:val="002E4568"/>
    <w:rsid w:val="002E50F0"/>
    <w:rsid w:val="002F46F9"/>
    <w:rsid w:val="00317D20"/>
    <w:rsid w:val="00325FCF"/>
    <w:rsid w:val="00344230"/>
    <w:rsid w:val="00346642"/>
    <w:rsid w:val="00352DA4"/>
    <w:rsid w:val="003557AF"/>
    <w:rsid w:val="00360866"/>
    <w:rsid w:val="00366992"/>
    <w:rsid w:val="003736E0"/>
    <w:rsid w:val="00391F57"/>
    <w:rsid w:val="00392896"/>
    <w:rsid w:val="003B4343"/>
    <w:rsid w:val="003C054A"/>
    <w:rsid w:val="003C4643"/>
    <w:rsid w:val="003C643C"/>
    <w:rsid w:val="003D6DD2"/>
    <w:rsid w:val="003E07C1"/>
    <w:rsid w:val="003E71A3"/>
    <w:rsid w:val="003F45D2"/>
    <w:rsid w:val="004104BB"/>
    <w:rsid w:val="00414766"/>
    <w:rsid w:val="00421739"/>
    <w:rsid w:val="00446370"/>
    <w:rsid w:val="004762A0"/>
    <w:rsid w:val="00493B9F"/>
    <w:rsid w:val="004A1184"/>
    <w:rsid w:val="004A2D23"/>
    <w:rsid w:val="004B0EF6"/>
    <w:rsid w:val="004E4E72"/>
    <w:rsid w:val="00500B31"/>
    <w:rsid w:val="00506121"/>
    <w:rsid w:val="00511DE0"/>
    <w:rsid w:val="00517178"/>
    <w:rsid w:val="00521E60"/>
    <w:rsid w:val="00525362"/>
    <w:rsid w:val="0053087E"/>
    <w:rsid w:val="005311C5"/>
    <w:rsid w:val="00541D22"/>
    <w:rsid w:val="00563D18"/>
    <w:rsid w:val="00585D55"/>
    <w:rsid w:val="005A10D0"/>
    <w:rsid w:val="005B5C9F"/>
    <w:rsid w:val="005B7140"/>
    <w:rsid w:val="005C020C"/>
    <w:rsid w:val="005E2B23"/>
    <w:rsid w:val="00600D37"/>
    <w:rsid w:val="00607D7C"/>
    <w:rsid w:val="00616B8B"/>
    <w:rsid w:val="00620E45"/>
    <w:rsid w:val="00636765"/>
    <w:rsid w:val="006405B5"/>
    <w:rsid w:val="00655B6F"/>
    <w:rsid w:val="00656F3C"/>
    <w:rsid w:val="006634B6"/>
    <w:rsid w:val="006C3821"/>
    <w:rsid w:val="006C60D4"/>
    <w:rsid w:val="006D724E"/>
    <w:rsid w:val="006F0942"/>
    <w:rsid w:val="006F0E47"/>
    <w:rsid w:val="00707EDA"/>
    <w:rsid w:val="007153AF"/>
    <w:rsid w:val="00746997"/>
    <w:rsid w:val="007554FF"/>
    <w:rsid w:val="007603FB"/>
    <w:rsid w:val="0076168E"/>
    <w:rsid w:val="00766F18"/>
    <w:rsid w:val="007806A7"/>
    <w:rsid w:val="00780F51"/>
    <w:rsid w:val="0078144C"/>
    <w:rsid w:val="00783FD8"/>
    <w:rsid w:val="007955B7"/>
    <w:rsid w:val="007A4202"/>
    <w:rsid w:val="007B32C6"/>
    <w:rsid w:val="007C3710"/>
    <w:rsid w:val="007C457F"/>
    <w:rsid w:val="007C4E8A"/>
    <w:rsid w:val="007D1B7A"/>
    <w:rsid w:val="007D7384"/>
    <w:rsid w:val="007E5219"/>
    <w:rsid w:val="007F2808"/>
    <w:rsid w:val="007F37F3"/>
    <w:rsid w:val="007F501D"/>
    <w:rsid w:val="007F7185"/>
    <w:rsid w:val="008070D8"/>
    <w:rsid w:val="00810CD5"/>
    <w:rsid w:val="008221D5"/>
    <w:rsid w:val="00823541"/>
    <w:rsid w:val="0083387A"/>
    <w:rsid w:val="00844EB9"/>
    <w:rsid w:val="00844FF9"/>
    <w:rsid w:val="008643F0"/>
    <w:rsid w:val="00865035"/>
    <w:rsid w:val="008811DD"/>
    <w:rsid w:val="008A269F"/>
    <w:rsid w:val="008C397D"/>
    <w:rsid w:val="008C3A41"/>
    <w:rsid w:val="008C42B3"/>
    <w:rsid w:val="008D3E40"/>
    <w:rsid w:val="00937E02"/>
    <w:rsid w:val="00955219"/>
    <w:rsid w:val="00972E38"/>
    <w:rsid w:val="00984FFB"/>
    <w:rsid w:val="009C160C"/>
    <w:rsid w:val="009C3BB9"/>
    <w:rsid w:val="009C42D8"/>
    <w:rsid w:val="009C46AD"/>
    <w:rsid w:val="009D242B"/>
    <w:rsid w:val="009E61E5"/>
    <w:rsid w:val="00A07910"/>
    <w:rsid w:val="00A321E6"/>
    <w:rsid w:val="00A44FFC"/>
    <w:rsid w:val="00A51BDF"/>
    <w:rsid w:val="00A53E8D"/>
    <w:rsid w:val="00A53F2E"/>
    <w:rsid w:val="00A60BB5"/>
    <w:rsid w:val="00A611D8"/>
    <w:rsid w:val="00A613B8"/>
    <w:rsid w:val="00A73552"/>
    <w:rsid w:val="00A77C34"/>
    <w:rsid w:val="00A912AB"/>
    <w:rsid w:val="00A952D6"/>
    <w:rsid w:val="00AB2187"/>
    <w:rsid w:val="00AC7E04"/>
    <w:rsid w:val="00AD266E"/>
    <w:rsid w:val="00AE5041"/>
    <w:rsid w:val="00AE67A9"/>
    <w:rsid w:val="00AF6919"/>
    <w:rsid w:val="00B32F1C"/>
    <w:rsid w:val="00B45AB5"/>
    <w:rsid w:val="00B66171"/>
    <w:rsid w:val="00B75267"/>
    <w:rsid w:val="00B76068"/>
    <w:rsid w:val="00B7612B"/>
    <w:rsid w:val="00BA6753"/>
    <w:rsid w:val="00BC1490"/>
    <w:rsid w:val="00BC2BB6"/>
    <w:rsid w:val="00BD0D37"/>
    <w:rsid w:val="00BD3C57"/>
    <w:rsid w:val="00BE21E0"/>
    <w:rsid w:val="00BE5A24"/>
    <w:rsid w:val="00C0580A"/>
    <w:rsid w:val="00C131C7"/>
    <w:rsid w:val="00C33042"/>
    <w:rsid w:val="00C352B7"/>
    <w:rsid w:val="00C4408D"/>
    <w:rsid w:val="00C520ED"/>
    <w:rsid w:val="00C6268A"/>
    <w:rsid w:val="00C858BD"/>
    <w:rsid w:val="00C86BCA"/>
    <w:rsid w:val="00CD7153"/>
    <w:rsid w:val="00CF42A4"/>
    <w:rsid w:val="00CF7A68"/>
    <w:rsid w:val="00D00B59"/>
    <w:rsid w:val="00D01944"/>
    <w:rsid w:val="00D021BF"/>
    <w:rsid w:val="00D04382"/>
    <w:rsid w:val="00D0649A"/>
    <w:rsid w:val="00D06771"/>
    <w:rsid w:val="00D16AFD"/>
    <w:rsid w:val="00D17043"/>
    <w:rsid w:val="00D237A5"/>
    <w:rsid w:val="00D40328"/>
    <w:rsid w:val="00D508AA"/>
    <w:rsid w:val="00D63F27"/>
    <w:rsid w:val="00D64737"/>
    <w:rsid w:val="00D74A45"/>
    <w:rsid w:val="00D75A03"/>
    <w:rsid w:val="00D766EC"/>
    <w:rsid w:val="00D83762"/>
    <w:rsid w:val="00D92F03"/>
    <w:rsid w:val="00D92F7F"/>
    <w:rsid w:val="00DA1A29"/>
    <w:rsid w:val="00DB0F24"/>
    <w:rsid w:val="00DC6428"/>
    <w:rsid w:val="00E05088"/>
    <w:rsid w:val="00E14AD1"/>
    <w:rsid w:val="00E15197"/>
    <w:rsid w:val="00E44BBB"/>
    <w:rsid w:val="00E46BF5"/>
    <w:rsid w:val="00E553A1"/>
    <w:rsid w:val="00E56DA2"/>
    <w:rsid w:val="00E6011D"/>
    <w:rsid w:val="00E611D5"/>
    <w:rsid w:val="00E61F32"/>
    <w:rsid w:val="00E7071B"/>
    <w:rsid w:val="00E76047"/>
    <w:rsid w:val="00E76832"/>
    <w:rsid w:val="00E91227"/>
    <w:rsid w:val="00E93D82"/>
    <w:rsid w:val="00E94A5E"/>
    <w:rsid w:val="00EC506B"/>
    <w:rsid w:val="00ED3FC0"/>
    <w:rsid w:val="00ED55F8"/>
    <w:rsid w:val="00EE3341"/>
    <w:rsid w:val="00EE4BFA"/>
    <w:rsid w:val="00EF334D"/>
    <w:rsid w:val="00EF775E"/>
    <w:rsid w:val="00F003FF"/>
    <w:rsid w:val="00F146FB"/>
    <w:rsid w:val="00F16AA3"/>
    <w:rsid w:val="00F23304"/>
    <w:rsid w:val="00F2401F"/>
    <w:rsid w:val="00F37064"/>
    <w:rsid w:val="00F40FCD"/>
    <w:rsid w:val="00F41C71"/>
    <w:rsid w:val="00F521EA"/>
    <w:rsid w:val="00F62261"/>
    <w:rsid w:val="00F63309"/>
    <w:rsid w:val="00F6727D"/>
    <w:rsid w:val="00F806EE"/>
    <w:rsid w:val="00FA015E"/>
    <w:rsid w:val="00FA1DAE"/>
    <w:rsid w:val="00FA29AC"/>
    <w:rsid w:val="00FA523D"/>
    <w:rsid w:val="00FA67D5"/>
    <w:rsid w:val="00FC1639"/>
    <w:rsid w:val="00FC2D27"/>
    <w:rsid w:val="00FC647F"/>
    <w:rsid w:val="00FD57E1"/>
    <w:rsid w:val="00FE42A5"/>
    <w:rsid w:val="00FF041D"/>
    <w:rsid w:val="01DA1195"/>
    <w:rsid w:val="03641534"/>
    <w:rsid w:val="04531584"/>
    <w:rsid w:val="04D0786A"/>
    <w:rsid w:val="05142C58"/>
    <w:rsid w:val="0B433C34"/>
    <w:rsid w:val="0CAB0DA0"/>
    <w:rsid w:val="10574E7F"/>
    <w:rsid w:val="13EA3E31"/>
    <w:rsid w:val="159C5147"/>
    <w:rsid w:val="16CB62BD"/>
    <w:rsid w:val="1BDB304D"/>
    <w:rsid w:val="21583C8E"/>
    <w:rsid w:val="22CF4BC0"/>
    <w:rsid w:val="24614597"/>
    <w:rsid w:val="2547777C"/>
    <w:rsid w:val="259F2E5F"/>
    <w:rsid w:val="25C66DB9"/>
    <w:rsid w:val="25F0110A"/>
    <w:rsid w:val="29FB73C5"/>
    <w:rsid w:val="2AAB75B9"/>
    <w:rsid w:val="2E81000B"/>
    <w:rsid w:val="30902329"/>
    <w:rsid w:val="323F2E45"/>
    <w:rsid w:val="35DB591A"/>
    <w:rsid w:val="35FC17AF"/>
    <w:rsid w:val="385F2358"/>
    <w:rsid w:val="38C94BC2"/>
    <w:rsid w:val="3BDB2B60"/>
    <w:rsid w:val="3BF17C3B"/>
    <w:rsid w:val="3BFA1AD6"/>
    <w:rsid w:val="430F44BC"/>
    <w:rsid w:val="459D320C"/>
    <w:rsid w:val="464F22C7"/>
    <w:rsid w:val="46756447"/>
    <w:rsid w:val="4C45148B"/>
    <w:rsid w:val="4D041120"/>
    <w:rsid w:val="5005288F"/>
    <w:rsid w:val="50DF23D7"/>
    <w:rsid w:val="53091D42"/>
    <w:rsid w:val="57C5743E"/>
    <w:rsid w:val="5A4E2F74"/>
    <w:rsid w:val="5A70679C"/>
    <w:rsid w:val="5AAF0114"/>
    <w:rsid w:val="5D9D0F1B"/>
    <w:rsid w:val="5ED1607A"/>
    <w:rsid w:val="604C2B7D"/>
    <w:rsid w:val="628F166D"/>
    <w:rsid w:val="62C256DB"/>
    <w:rsid w:val="64FE6DD7"/>
    <w:rsid w:val="65E61619"/>
    <w:rsid w:val="6608469C"/>
    <w:rsid w:val="689A4037"/>
    <w:rsid w:val="68F86BE9"/>
    <w:rsid w:val="6A7523E1"/>
    <w:rsid w:val="6D286EC0"/>
    <w:rsid w:val="6DFC232A"/>
    <w:rsid w:val="70A500BA"/>
    <w:rsid w:val="71665C0C"/>
    <w:rsid w:val="71B16FE9"/>
    <w:rsid w:val="72465B4B"/>
    <w:rsid w:val="73A266A5"/>
    <w:rsid w:val="740B66D4"/>
    <w:rsid w:val="75E67DB6"/>
    <w:rsid w:val="769E38C6"/>
    <w:rsid w:val="7A6238FA"/>
    <w:rsid w:val="7B431369"/>
    <w:rsid w:val="7CE2314D"/>
    <w:rsid w:val="7D6C69B4"/>
    <w:rsid w:val="7F437442"/>
    <w:rsid w:val="7F910F92"/>
    <w:rsid w:val="7FD93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13" w:semiHidden="0" w:name="heading 7"/>
    <w:lsdException w:qFormat="1" w:uiPriority="14" w:semiHidden="0" w:name="heading 8"/>
    <w:lsdException w:qFormat="1"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8"/>
    <w:qFormat/>
    <w:uiPriority w:val="9"/>
    <w:pPr>
      <w:keepNext/>
      <w:keepLines/>
      <w:numPr>
        <w:ilvl w:val="0"/>
        <w:numId w:val="1"/>
      </w:numPr>
      <w:spacing w:line="360" w:lineRule="auto"/>
      <w:outlineLvl w:val="0"/>
    </w:pPr>
    <w:rPr>
      <w:rFonts w:ascii="Times New Roman" w:hAnsi="Times New Roman" w:eastAsia="黑体"/>
      <w:bCs/>
      <w:kern w:val="44"/>
      <w:sz w:val="32"/>
      <w:szCs w:val="44"/>
    </w:rPr>
  </w:style>
  <w:style w:type="paragraph" w:styleId="4">
    <w:name w:val="heading 2"/>
    <w:basedOn w:val="1"/>
    <w:next w:val="1"/>
    <w:link w:val="39"/>
    <w:unhideWhenUsed/>
    <w:qFormat/>
    <w:uiPriority w:val="9"/>
    <w:pPr>
      <w:keepNext/>
      <w:keepLines/>
      <w:numPr>
        <w:ilvl w:val="1"/>
        <w:numId w:val="1"/>
      </w:numPr>
      <w:spacing w:line="360" w:lineRule="auto"/>
      <w:outlineLvl w:val="1"/>
    </w:pPr>
    <w:rPr>
      <w:rFonts w:ascii="Times New Roman" w:hAnsi="Times New Roman" w:eastAsia="黑体" w:cstheme="majorBidi"/>
      <w:bCs/>
      <w:sz w:val="30"/>
      <w:szCs w:val="32"/>
    </w:rPr>
  </w:style>
  <w:style w:type="paragraph" w:styleId="5">
    <w:name w:val="heading 3"/>
    <w:basedOn w:val="1"/>
    <w:next w:val="1"/>
    <w:link w:val="40"/>
    <w:unhideWhenUsed/>
    <w:qFormat/>
    <w:uiPriority w:val="9"/>
    <w:pPr>
      <w:keepNext/>
      <w:keepLines/>
      <w:numPr>
        <w:ilvl w:val="2"/>
        <w:numId w:val="1"/>
      </w:numPr>
      <w:spacing w:line="360" w:lineRule="auto"/>
      <w:outlineLvl w:val="2"/>
    </w:pPr>
    <w:rPr>
      <w:rFonts w:ascii="Times New Roman" w:hAnsi="Times New Roman" w:eastAsia="黑体"/>
      <w:bCs/>
      <w:sz w:val="28"/>
      <w:szCs w:val="32"/>
    </w:rPr>
  </w:style>
  <w:style w:type="paragraph" w:styleId="2">
    <w:name w:val="heading 4"/>
    <w:basedOn w:val="1"/>
    <w:next w:val="1"/>
    <w:link w:val="41"/>
    <w:unhideWhenUsed/>
    <w:qFormat/>
    <w:uiPriority w:val="9"/>
    <w:pPr>
      <w:keepNext/>
      <w:keepLines/>
      <w:numPr>
        <w:ilvl w:val="3"/>
        <w:numId w:val="1"/>
      </w:numPr>
      <w:spacing w:line="360" w:lineRule="auto"/>
      <w:outlineLvl w:val="3"/>
    </w:pPr>
    <w:rPr>
      <w:rFonts w:eastAsia="宋体" w:asciiTheme="majorHAnsi" w:hAnsiTheme="majorHAnsi" w:cstheme="majorBidi"/>
      <w:bCs/>
      <w:sz w:val="24"/>
      <w:szCs w:val="28"/>
    </w:rPr>
  </w:style>
  <w:style w:type="paragraph" w:styleId="6">
    <w:name w:val="heading 5"/>
    <w:basedOn w:val="1"/>
    <w:next w:val="1"/>
    <w:link w:val="42"/>
    <w:unhideWhenUsed/>
    <w:qFormat/>
    <w:uiPriority w:val="9"/>
    <w:pPr>
      <w:keepNext/>
      <w:keepLines/>
      <w:numPr>
        <w:ilvl w:val="4"/>
        <w:numId w:val="1"/>
      </w:numPr>
      <w:spacing w:line="360" w:lineRule="auto"/>
      <w:outlineLvl w:val="4"/>
    </w:pPr>
    <w:rPr>
      <w:rFonts w:ascii="Times New Roman" w:hAnsi="Times New Roman" w:eastAsia="宋体"/>
      <w:bCs/>
      <w:sz w:val="24"/>
      <w:szCs w:val="28"/>
    </w:rPr>
  </w:style>
  <w:style w:type="paragraph" w:styleId="7">
    <w:name w:val="heading 6"/>
    <w:basedOn w:val="1"/>
    <w:next w:val="1"/>
    <w:link w:val="43"/>
    <w:unhideWhenUsed/>
    <w:qFormat/>
    <w:uiPriority w:val="9"/>
    <w:pPr>
      <w:keepNext/>
      <w:keepLines/>
      <w:numPr>
        <w:ilvl w:val="5"/>
        <w:numId w:val="1"/>
      </w:numPr>
      <w:spacing w:line="360" w:lineRule="auto"/>
      <w:outlineLvl w:val="5"/>
    </w:pPr>
    <w:rPr>
      <w:rFonts w:ascii="Times New Roman" w:hAnsi="Times New Roman" w:eastAsia="宋体" w:cstheme="majorBidi"/>
      <w:bCs/>
      <w:sz w:val="24"/>
      <w:szCs w:val="24"/>
    </w:rPr>
  </w:style>
  <w:style w:type="paragraph" w:styleId="8">
    <w:name w:val="heading 7"/>
    <w:basedOn w:val="1"/>
    <w:next w:val="1"/>
    <w:link w:val="44"/>
    <w:unhideWhenUsed/>
    <w:qFormat/>
    <w:uiPriority w:val="13"/>
    <w:pPr>
      <w:keepNext/>
      <w:keepLines/>
      <w:numPr>
        <w:ilvl w:val="6"/>
        <w:numId w:val="1"/>
      </w:numPr>
      <w:spacing w:line="360" w:lineRule="auto"/>
      <w:outlineLvl w:val="6"/>
    </w:pPr>
    <w:rPr>
      <w:rFonts w:ascii="Times New Roman" w:hAnsi="Times New Roman" w:eastAsia="宋体"/>
      <w:bCs/>
      <w:sz w:val="24"/>
      <w:szCs w:val="24"/>
    </w:rPr>
  </w:style>
  <w:style w:type="paragraph" w:styleId="9">
    <w:name w:val="heading 8"/>
    <w:basedOn w:val="1"/>
    <w:next w:val="1"/>
    <w:link w:val="45"/>
    <w:unhideWhenUsed/>
    <w:qFormat/>
    <w:uiPriority w:val="14"/>
    <w:pPr>
      <w:keepNext/>
      <w:keepLines/>
      <w:numPr>
        <w:ilvl w:val="7"/>
        <w:numId w:val="1"/>
      </w:numPr>
      <w:spacing w:line="360" w:lineRule="auto"/>
      <w:outlineLvl w:val="7"/>
    </w:pPr>
    <w:rPr>
      <w:rFonts w:ascii="Times New Roman" w:hAnsi="Times New Roman" w:eastAsia="宋体" w:cstheme="majorBidi"/>
      <w:sz w:val="24"/>
      <w:szCs w:val="24"/>
    </w:rPr>
  </w:style>
  <w:style w:type="paragraph" w:styleId="10">
    <w:name w:val="heading 9"/>
    <w:basedOn w:val="1"/>
    <w:next w:val="1"/>
    <w:link w:val="46"/>
    <w:unhideWhenUsed/>
    <w:qFormat/>
    <w:uiPriority w:val="15"/>
    <w:pPr>
      <w:keepNext/>
      <w:keepLines/>
      <w:numPr>
        <w:ilvl w:val="8"/>
        <w:numId w:val="1"/>
      </w:numPr>
      <w:spacing w:line="360" w:lineRule="auto"/>
      <w:outlineLvl w:val="8"/>
    </w:pPr>
    <w:rPr>
      <w:rFonts w:ascii="Times New Roman" w:hAnsi="Times New Roman" w:eastAsia="宋体" w:cstheme="majorBidi"/>
      <w:sz w:val="24"/>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8890"/>
      </w:tabs>
      <w:spacing w:line="300" w:lineRule="auto"/>
      <w:ind w:left="2625" w:leftChars="1250"/>
    </w:pPr>
    <w:rPr>
      <w:sz w:val="24"/>
    </w:rPr>
  </w:style>
  <w:style w:type="paragraph" w:styleId="12">
    <w:name w:val="Normal Indent"/>
    <w:basedOn w:val="1"/>
    <w:qFormat/>
    <w:uiPriority w:val="0"/>
    <w:pPr>
      <w:ind w:firstLine="420" w:firstLineChars="200"/>
    </w:pPr>
  </w:style>
  <w:style w:type="paragraph" w:styleId="13">
    <w:name w:val="caption"/>
    <w:basedOn w:val="1"/>
    <w:next w:val="1"/>
    <w:unhideWhenUsed/>
    <w:qFormat/>
    <w:uiPriority w:val="35"/>
    <w:rPr>
      <w:rFonts w:eastAsia="黑体" w:asciiTheme="majorHAnsi" w:hAnsiTheme="majorHAnsi" w:cstheme="majorBidi"/>
      <w:sz w:val="20"/>
      <w:szCs w:val="20"/>
    </w:rPr>
  </w:style>
  <w:style w:type="paragraph" w:styleId="14">
    <w:name w:val="Document Map"/>
    <w:basedOn w:val="1"/>
    <w:link w:val="73"/>
    <w:unhideWhenUsed/>
    <w:qFormat/>
    <w:uiPriority w:val="99"/>
    <w:rPr>
      <w:rFonts w:ascii="宋体" w:eastAsia="宋体"/>
      <w:sz w:val="24"/>
      <w:szCs w:val="24"/>
    </w:rPr>
  </w:style>
  <w:style w:type="paragraph" w:styleId="15">
    <w:name w:val="annotation text"/>
    <w:basedOn w:val="1"/>
    <w:link w:val="56"/>
    <w:unhideWhenUsed/>
    <w:qFormat/>
    <w:uiPriority w:val="99"/>
    <w:pPr>
      <w:jc w:val="left"/>
    </w:pPr>
  </w:style>
  <w:style w:type="paragraph" w:styleId="16">
    <w:name w:val="Body Text"/>
    <w:basedOn w:val="1"/>
    <w:link w:val="91"/>
    <w:semiHidden/>
    <w:unhideWhenUsed/>
    <w:qFormat/>
    <w:uiPriority w:val="99"/>
    <w:pPr>
      <w:spacing w:after="120"/>
    </w:pPr>
    <w:rPr>
      <w:rFonts w:ascii="Times New Roman" w:hAnsi="Times New Roman" w:eastAsia="宋体" w:cs="Times New Roman"/>
      <w:sz w:val="28"/>
      <w:szCs w:val="24"/>
    </w:rPr>
  </w:style>
  <w:style w:type="paragraph" w:styleId="17">
    <w:name w:val="toc 5"/>
    <w:basedOn w:val="1"/>
    <w:next w:val="1"/>
    <w:unhideWhenUsed/>
    <w:qFormat/>
    <w:uiPriority w:val="39"/>
    <w:pPr>
      <w:tabs>
        <w:tab w:val="right" w:leader="dot" w:pos="8890"/>
      </w:tabs>
      <w:spacing w:line="300" w:lineRule="auto"/>
      <w:ind w:left="1785" w:leftChars="850"/>
    </w:pPr>
    <w:rPr>
      <w:sz w:val="24"/>
    </w:rPr>
  </w:style>
  <w:style w:type="paragraph" w:styleId="18">
    <w:name w:val="toc 3"/>
    <w:basedOn w:val="1"/>
    <w:next w:val="1"/>
    <w:unhideWhenUsed/>
    <w:qFormat/>
    <w:uiPriority w:val="39"/>
    <w:pPr>
      <w:widowControl/>
      <w:tabs>
        <w:tab w:val="right" w:leader="dot" w:pos="8900"/>
      </w:tabs>
      <w:spacing w:line="300" w:lineRule="auto"/>
      <w:ind w:left="1050" w:leftChars="500"/>
      <w:jc w:val="left"/>
    </w:pPr>
    <w:rPr>
      <w:rFonts w:cs="Times New Roman"/>
      <w:kern w:val="0"/>
      <w:sz w:val="24"/>
    </w:rPr>
  </w:style>
  <w:style w:type="paragraph" w:styleId="19">
    <w:name w:val="Plain Text"/>
    <w:basedOn w:val="1"/>
    <w:link w:val="51"/>
    <w:qFormat/>
    <w:uiPriority w:val="99"/>
    <w:rPr>
      <w:rFonts w:ascii="宋体" w:hAnsi="Courier New" w:eastAsia="宋体" w:cs="Times New Roman"/>
      <w:szCs w:val="21"/>
    </w:rPr>
  </w:style>
  <w:style w:type="paragraph" w:styleId="20">
    <w:name w:val="toc 8"/>
    <w:basedOn w:val="1"/>
    <w:next w:val="1"/>
    <w:unhideWhenUsed/>
    <w:qFormat/>
    <w:uiPriority w:val="39"/>
    <w:pPr>
      <w:tabs>
        <w:tab w:val="right" w:leader="dot" w:pos="8890"/>
      </w:tabs>
      <w:spacing w:line="300" w:lineRule="auto"/>
      <w:ind w:left="3045" w:leftChars="1450"/>
    </w:pPr>
    <w:rPr>
      <w:sz w:val="24"/>
    </w:rPr>
  </w:style>
  <w:style w:type="paragraph" w:styleId="21">
    <w:name w:val="Date"/>
    <w:basedOn w:val="1"/>
    <w:next w:val="1"/>
    <w:link w:val="47"/>
    <w:semiHidden/>
    <w:unhideWhenUsed/>
    <w:qFormat/>
    <w:uiPriority w:val="99"/>
    <w:pPr>
      <w:ind w:left="100" w:leftChars="2500"/>
    </w:pPr>
  </w:style>
  <w:style w:type="paragraph" w:styleId="22">
    <w:name w:val="Balloon Text"/>
    <w:basedOn w:val="1"/>
    <w:link w:val="52"/>
    <w:unhideWhenUsed/>
    <w:qFormat/>
    <w:uiPriority w:val="99"/>
    <w:rPr>
      <w:sz w:val="18"/>
      <w:szCs w:val="18"/>
    </w:rPr>
  </w:style>
  <w:style w:type="paragraph" w:styleId="23">
    <w:name w:val="footer"/>
    <w:basedOn w:val="1"/>
    <w:link w:val="49"/>
    <w:unhideWhenUsed/>
    <w:qFormat/>
    <w:uiPriority w:val="99"/>
    <w:pPr>
      <w:tabs>
        <w:tab w:val="center" w:pos="4153"/>
        <w:tab w:val="right" w:pos="8306"/>
      </w:tabs>
      <w:snapToGrid w:val="0"/>
      <w:jc w:val="left"/>
    </w:pPr>
    <w:rPr>
      <w:sz w:val="18"/>
      <w:szCs w:val="18"/>
    </w:rPr>
  </w:style>
  <w:style w:type="paragraph" w:styleId="24">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unhideWhenUsed/>
    <w:qFormat/>
    <w:uiPriority w:val="39"/>
    <w:pPr>
      <w:widowControl/>
      <w:tabs>
        <w:tab w:val="right" w:leader="dot" w:pos="8890"/>
      </w:tabs>
      <w:adjustRightInd w:val="0"/>
      <w:snapToGrid w:val="0"/>
      <w:spacing w:line="300" w:lineRule="auto"/>
      <w:jc w:val="left"/>
    </w:pPr>
    <w:rPr>
      <w:rFonts w:cs="Times New Roman"/>
      <w:b/>
      <w:kern w:val="0"/>
      <w:sz w:val="24"/>
    </w:rPr>
  </w:style>
  <w:style w:type="paragraph" w:styleId="26">
    <w:name w:val="toc 4"/>
    <w:basedOn w:val="1"/>
    <w:next w:val="1"/>
    <w:unhideWhenUsed/>
    <w:qFormat/>
    <w:uiPriority w:val="39"/>
    <w:pPr>
      <w:tabs>
        <w:tab w:val="right" w:leader="dot" w:pos="8890"/>
      </w:tabs>
      <w:spacing w:line="300" w:lineRule="auto"/>
      <w:ind w:left="1365" w:leftChars="650"/>
    </w:pPr>
    <w:rPr>
      <w:sz w:val="24"/>
    </w:rPr>
  </w:style>
  <w:style w:type="paragraph" w:styleId="27">
    <w:name w:val="toc 6"/>
    <w:basedOn w:val="1"/>
    <w:next w:val="1"/>
    <w:unhideWhenUsed/>
    <w:qFormat/>
    <w:uiPriority w:val="39"/>
    <w:pPr>
      <w:tabs>
        <w:tab w:val="right" w:leader="dot" w:pos="8890"/>
      </w:tabs>
      <w:spacing w:line="300" w:lineRule="auto"/>
      <w:ind w:left="2205" w:leftChars="1050"/>
    </w:pPr>
    <w:rPr>
      <w:sz w:val="24"/>
    </w:rPr>
  </w:style>
  <w:style w:type="paragraph" w:styleId="28">
    <w:name w:val="toc 2"/>
    <w:basedOn w:val="1"/>
    <w:next w:val="1"/>
    <w:unhideWhenUsed/>
    <w:qFormat/>
    <w:uiPriority w:val="39"/>
    <w:pPr>
      <w:widowControl/>
      <w:tabs>
        <w:tab w:val="right" w:leader="dot" w:pos="8900"/>
      </w:tabs>
      <w:spacing w:line="300" w:lineRule="auto"/>
      <w:ind w:left="200" w:leftChars="200"/>
      <w:jc w:val="left"/>
    </w:pPr>
    <w:rPr>
      <w:rFonts w:cs="Times New Roman"/>
      <w:kern w:val="0"/>
      <w:sz w:val="24"/>
    </w:rPr>
  </w:style>
  <w:style w:type="paragraph" w:styleId="29">
    <w:name w:val="toc 9"/>
    <w:basedOn w:val="1"/>
    <w:next w:val="1"/>
    <w:unhideWhenUsed/>
    <w:qFormat/>
    <w:uiPriority w:val="39"/>
    <w:pPr>
      <w:tabs>
        <w:tab w:val="right" w:leader="dot" w:pos="8890"/>
      </w:tabs>
      <w:adjustRightInd w:val="0"/>
      <w:snapToGrid w:val="0"/>
      <w:spacing w:line="300" w:lineRule="auto"/>
      <w:ind w:left="3465" w:leftChars="1650"/>
    </w:pPr>
    <w:rPr>
      <w:sz w:val="24"/>
    </w:rPr>
  </w:style>
  <w:style w:type="paragraph" w:styleId="30">
    <w:name w:val="Normal (Web)"/>
    <w:basedOn w:val="1"/>
    <w:unhideWhenUsed/>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styleId="31">
    <w:name w:val="annotation subject"/>
    <w:basedOn w:val="15"/>
    <w:next w:val="15"/>
    <w:link w:val="58"/>
    <w:unhideWhenUsed/>
    <w:qFormat/>
    <w:uiPriority w:val="99"/>
    <w:rPr>
      <w:b/>
      <w:bCs/>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FollowedHyperlink"/>
    <w:basedOn w:val="34"/>
    <w:semiHidden/>
    <w:unhideWhenUsed/>
    <w:qFormat/>
    <w:uiPriority w:val="99"/>
    <w:rPr>
      <w:color w:val="954F72" w:themeColor="followedHyperlink"/>
      <w:u w:val="single"/>
      <w14:textFill>
        <w14:solidFill>
          <w14:schemeClr w14:val="folHlink"/>
        </w14:solidFill>
      </w14:textFill>
    </w:rPr>
  </w:style>
  <w:style w:type="character" w:styleId="36">
    <w:name w:val="Hyperlink"/>
    <w:basedOn w:val="34"/>
    <w:unhideWhenUsed/>
    <w:qFormat/>
    <w:uiPriority w:val="99"/>
    <w:rPr>
      <w:color w:val="0563C1" w:themeColor="hyperlink"/>
      <w:u w:val="single"/>
      <w14:textFill>
        <w14:solidFill>
          <w14:schemeClr w14:val="hlink"/>
        </w14:solidFill>
      </w14:textFill>
    </w:rPr>
  </w:style>
  <w:style w:type="character" w:styleId="37">
    <w:name w:val="annotation reference"/>
    <w:qFormat/>
    <w:uiPriority w:val="99"/>
    <w:rPr>
      <w:sz w:val="21"/>
    </w:rPr>
  </w:style>
  <w:style w:type="character" w:customStyle="1" w:styleId="38">
    <w:name w:val="标题 1 字符"/>
    <w:basedOn w:val="34"/>
    <w:link w:val="3"/>
    <w:qFormat/>
    <w:uiPriority w:val="0"/>
    <w:rPr>
      <w:rFonts w:ascii="Times New Roman" w:hAnsi="Times New Roman" w:eastAsia="黑体"/>
      <w:bCs/>
      <w:kern w:val="44"/>
      <w:sz w:val="32"/>
      <w:szCs w:val="44"/>
    </w:rPr>
  </w:style>
  <w:style w:type="character" w:customStyle="1" w:styleId="39">
    <w:name w:val="标题 2 字符"/>
    <w:basedOn w:val="34"/>
    <w:link w:val="4"/>
    <w:qFormat/>
    <w:uiPriority w:val="9"/>
    <w:rPr>
      <w:rFonts w:ascii="Times New Roman" w:hAnsi="Times New Roman" w:eastAsia="黑体" w:cstheme="majorBidi"/>
      <w:bCs/>
      <w:sz w:val="30"/>
      <w:szCs w:val="32"/>
    </w:rPr>
  </w:style>
  <w:style w:type="character" w:customStyle="1" w:styleId="40">
    <w:name w:val="标题 3 字符"/>
    <w:basedOn w:val="34"/>
    <w:link w:val="5"/>
    <w:qFormat/>
    <w:uiPriority w:val="9"/>
    <w:rPr>
      <w:rFonts w:ascii="Times New Roman" w:hAnsi="Times New Roman" w:eastAsia="黑体"/>
      <w:bCs/>
      <w:sz w:val="28"/>
      <w:szCs w:val="32"/>
    </w:rPr>
  </w:style>
  <w:style w:type="character" w:customStyle="1" w:styleId="41">
    <w:name w:val="标题 4 字符"/>
    <w:basedOn w:val="34"/>
    <w:link w:val="2"/>
    <w:qFormat/>
    <w:uiPriority w:val="99"/>
    <w:rPr>
      <w:rFonts w:eastAsia="宋体" w:asciiTheme="majorHAnsi" w:hAnsiTheme="majorHAnsi" w:cstheme="majorBidi"/>
      <w:bCs/>
      <w:sz w:val="24"/>
      <w:szCs w:val="28"/>
    </w:rPr>
  </w:style>
  <w:style w:type="character" w:customStyle="1" w:styleId="42">
    <w:name w:val="标题 5 字符"/>
    <w:basedOn w:val="34"/>
    <w:link w:val="6"/>
    <w:qFormat/>
    <w:uiPriority w:val="99"/>
    <w:rPr>
      <w:rFonts w:ascii="Times New Roman" w:hAnsi="Times New Roman" w:eastAsia="宋体"/>
      <w:bCs/>
      <w:sz w:val="24"/>
      <w:szCs w:val="28"/>
    </w:rPr>
  </w:style>
  <w:style w:type="character" w:customStyle="1" w:styleId="43">
    <w:name w:val="标题 6 字符"/>
    <w:basedOn w:val="34"/>
    <w:link w:val="7"/>
    <w:qFormat/>
    <w:uiPriority w:val="99"/>
    <w:rPr>
      <w:rFonts w:ascii="Times New Roman" w:hAnsi="Times New Roman" w:eastAsia="宋体" w:cstheme="majorBidi"/>
      <w:bCs/>
      <w:sz w:val="24"/>
      <w:szCs w:val="24"/>
    </w:rPr>
  </w:style>
  <w:style w:type="character" w:customStyle="1" w:styleId="44">
    <w:name w:val="标题 7 字符"/>
    <w:basedOn w:val="34"/>
    <w:link w:val="8"/>
    <w:qFormat/>
    <w:uiPriority w:val="99"/>
    <w:rPr>
      <w:rFonts w:ascii="Times New Roman" w:hAnsi="Times New Roman" w:eastAsia="宋体"/>
      <w:bCs/>
      <w:sz w:val="24"/>
      <w:szCs w:val="24"/>
    </w:rPr>
  </w:style>
  <w:style w:type="character" w:customStyle="1" w:styleId="45">
    <w:name w:val="标题 8 字符"/>
    <w:basedOn w:val="34"/>
    <w:link w:val="9"/>
    <w:qFormat/>
    <w:uiPriority w:val="99"/>
    <w:rPr>
      <w:rFonts w:ascii="Times New Roman" w:hAnsi="Times New Roman" w:eastAsia="宋体" w:cstheme="majorBidi"/>
      <w:sz w:val="24"/>
      <w:szCs w:val="24"/>
    </w:rPr>
  </w:style>
  <w:style w:type="character" w:customStyle="1" w:styleId="46">
    <w:name w:val="标题 9 字符"/>
    <w:basedOn w:val="34"/>
    <w:link w:val="10"/>
    <w:qFormat/>
    <w:uiPriority w:val="99"/>
    <w:rPr>
      <w:rFonts w:ascii="Times New Roman" w:hAnsi="Times New Roman" w:eastAsia="宋体" w:cstheme="majorBidi"/>
      <w:sz w:val="24"/>
      <w:szCs w:val="21"/>
    </w:rPr>
  </w:style>
  <w:style w:type="character" w:customStyle="1" w:styleId="47">
    <w:name w:val="日期 字符"/>
    <w:basedOn w:val="34"/>
    <w:link w:val="21"/>
    <w:semiHidden/>
    <w:qFormat/>
    <w:uiPriority w:val="99"/>
  </w:style>
  <w:style w:type="character" w:customStyle="1" w:styleId="48">
    <w:name w:val="页眉 字符"/>
    <w:basedOn w:val="34"/>
    <w:link w:val="24"/>
    <w:qFormat/>
    <w:uiPriority w:val="99"/>
    <w:rPr>
      <w:sz w:val="18"/>
      <w:szCs w:val="18"/>
    </w:rPr>
  </w:style>
  <w:style w:type="character" w:customStyle="1" w:styleId="49">
    <w:name w:val="页脚 字符"/>
    <w:basedOn w:val="34"/>
    <w:link w:val="23"/>
    <w:qFormat/>
    <w:uiPriority w:val="99"/>
    <w:rPr>
      <w:sz w:val="18"/>
      <w:szCs w:val="18"/>
    </w:rPr>
  </w:style>
  <w:style w:type="paragraph" w:styleId="50">
    <w:name w:val="List Paragraph"/>
    <w:basedOn w:val="1"/>
    <w:link w:val="57"/>
    <w:qFormat/>
    <w:uiPriority w:val="34"/>
    <w:pPr>
      <w:ind w:firstLine="420" w:firstLineChars="200"/>
    </w:pPr>
  </w:style>
  <w:style w:type="character" w:customStyle="1" w:styleId="51">
    <w:name w:val="纯文本 字符"/>
    <w:basedOn w:val="34"/>
    <w:link w:val="19"/>
    <w:qFormat/>
    <w:uiPriority w:val="99"/>
    <w:rPr>
      <w:rFonts w:ascii="宋体" w:hAnsi="Courier New" w:eastAsia="宋体" w:cs="Times New Roman"/>
      <w:szCs w:val="21"/>
    </w:rPr>
  </w:style>
  <w:style w:type="character" w:customStyle="1" w:styleId="52">
    <w:name w:val="批注框文本 字符"/>
    <w:basedOn w:val="34"/>
    <w:link w:val="22"/>
    <w:semiHidden/>
    <w:qFormat/>
    <w:uiPriority w:val="99"/>
    <w:rPr>
      <w:sz w:val="18"/>
      <w:szCs w:val="18"/>
    </w:rPr>
  </w:style>
  <w:style w:type="paragraph" w:customStyle="1" w:styleId="53">
    <w:name w:val="Table Paragraph"/>
    <w:basedOn w:val="1"/>
    <w:qFormat/>
    <w:uiPriority w:val="1"/>
    <w:pPr>
      <w:autoSpaceDE w:val="0"/>
      <w:autoSpaceDN w:val="0"/>
      <w:jc w:val="left"/>
    </w:pPr>
    <w:rPr>
      <w:rFonts w:ascii="宋体" w:hAnsi="宋体" w:eastAsia="宋体" w:cs="宋体"/>
      <w:kern w:val="0"/>
      <w:sz w:val="22"/>
      <w:lang w:eastAsia="en-US"/>
    </w:rPr>
  </w:style>
  <w:style w:type="paragraph" w:styleId="54">
    <w:name w:val="Quote"/>
    <w:basedOn w:val="1"/>
    <w:next w:val="1"/>
    <w:link w:val="55"/>
    <w:qFormat/>
    <w:uiPriority w:val="29"/>
    <w:rPr>
      <w:i/>
      <w:iCs/>
      <w:color w:val="000000" w:themeColor="text1"/>
      <w14:textFill>
        <w14:solidFill>
          <w14:schemeClr w14:val="tx1"/>
        </w14:solidFill>
      </w14:textFill>
    </w:rPr>
  </w:style>
  <w:style w:type="character" w:customStyle="1" w:styleId="55">
    <w:name w:val="引用 字符"/>
    <w:basedOn w:val="34"/>
    <w:link w:val="54"/>
    <w:qFormat/>
    <w:uiPriority w:val="29"/>
    <w:rPr>
      <w:i/>
      <w:iCs/>
      <w:color w:val="000000" w:themeColor="text1"/>
      <w14:textFill>
        <w14:solidFill>
          <w14:schemeClr w14:val="tx1"/>
        </w14:solidFill>
      </w14:textFill>
    </w:rPr>
  </w:style>
  <w:style w:type="character" w:customStyle="1" w:styleId="56">
    <w:name w:val="批注文字 字符"/>
    <w:basedOn w:val="34"/>
    <w:link w:val="15"/>
    <w:qFormat/>
    <w:uiPriority w:val="99"/>
  </w:style>
  <w:style w:type="character" w:customStyle="1" w:styleId="57">
    <w:name w:val="列表段落 字符"/>
    <w:link w:val="50"/>
    <w:qFormat/>
    <w:uiPriority w:val="34"/>
  </w:style>
  <w:style w:type="character" w:customStyle="1" w:styleId="58">
    <w:name w:val="批注主题 字符"/>
    <w:basedOn w:val="56"/>
    <w:link w:val="31"/>
    <w:qFormat/>
    <w:uiPriority w:val="99"/>
    <w:rPr>
      <w:b/>
      <w:bCs/>
    </w:rPr>
  </w:style>
  <w:style w:type="character" w:customStyle="1" w:styleId="59">
    <w:name w:val="图题注1 Char"/>
    <w:link w:val="60"/>
    <w:qFormat/>
    <w:uiPriority w:val="0"/>
    <w:rPr>
      <w:rFonts w:ascii="仿宋" w:hAnsi="仿宋" w:eastAsia="仿宋" w:cs="Times New Roman"/>
      <w:szCs w:val="20"/>
    </w:rPr>
  </w:style>
  <w:style w:type="paragraph" w:customStyle="1" w:styleId="60">
    <w:name w:val="图题注1"/>
    <w:basedOn w:val="13"/>
    <w:link w:val="59"/>
    <w:qFormat/>
    <w:uiPriority w:val="0"/>
    <w:pPr>
      <w:spacing w:line="360" w:lineRule="auto"/>
      <w:jc w:val="center"/>
    </w:pPr>
    <w:rPr>
      <w:rFonts w:ascii="仿宋" w:hAnsi="仿宋" w:eastAsia="仿宋" w:cs="Times New Roman"/>
      <w:sz w:val="21"/>
    </w:rPr>
  </w:style>
  <w:style w:type="character" w:customStyle="1" w:styleId="61">
    <w:name w:val="列出段落字符"/>
    <w:link w:val="62"/>
    <w:qFormat/>
    <w:uiPriority w:val="34"/>
    <w:rPr>
      <w:rFonts w:ascii="Calibri" w:hAnsi="Calibri" w:eastAsia="宋体" w:cs="Times New Roman"/>
    </w:rPr>
  </w:style>
  <w:style w:type="paragraph" w:customStyle="1" w:styleId="62">
    <w:name w:val="列出段落1"/>
    <w:basedOn w:val="1"/>
    <w:link w:val="61"/>
    <w:qFormat/>
    <w:uiPriority w:val="34"/>
    <w:pPr>
      <w:ind w:firstLine="420" w:firstLineChars="200"/>
    </w:pPr>
    <w:rPr>
      <w:rFonts w:ascii="Calibri" w:hAnsi="Calibri" w:eastAsia="宋体" w:cs="Times New Roman"/>
    </w:rPr>
  </w:style>
  <w:style w:type="paragraph" w:customStyle="1" w:styleId="63">
    <w:name w:val="TOC Heading"/>
    <w:basedOn w:val="3"/>
    <w:next w:val="1"/>
    <w:semiHidden/>
    <w:unhideWhenUsed/>
    <w:qFormat/>
    <w:uiPriority w:val="39"/>
    <w:pPr>
      <w:widowControl/>
      <w:numPr>
        <w:numId w:val="0"/>
      </w:numPr>
      <w:spacing w:before="480" w:line="276" w:lineRule="auto"/>
      <w:jc w:val="left"/>
      <w:outlineLvl w:val="9"/>
    </w:pPr>
    <w:rPr>
      <w:rFonts w:asciiTheme="majorHAnsi" w:hAnsiTheme="majorHAnsi" w:eastAsiaTheme="majorEastAsia" w:cstheme="majorBidi"/>
      <w:b/>
      <w:color w:val="2E75B6" w:themeColor="accent1" w:themeShade="BF"/>
      <w:kern w:val="0"/>
      <w:sz w:val="28"/>
      <w:szCs w:val="28"/>
    </w:rPr>
  </w:style>
  <w:style w:type="paragraph" w:styleId="64">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65">
    <w:name w:val="font21"/>
    <w:qFormat/>
    <w:uiPriority w:val="0"/>
    <w:rPr>
      <w:rFonts w:hint="eastAsia" w:ascii="宋体" w:hAnsi="宋体" w:eastAsia="宋体" w:cs="宋体"/>
      <w:color w:val="000000"/>
      <w:sz w:val="20"/>
      <w:szCs w:val="20"/>
      <w:u w:val="none"/>
    </w:rPr>
  </w:style>
  <w:style w:type="character" w:customStyle="1" w:styleId="66">
    <w:name w:val="font51"/>
    <w:qFormat/>
    <w:uiPriority w:val="0"/>
    <w:rPr>
      <w:rFonts w:ascii="Wingdings 2" w:hAnsi="Wingdings 2" w:eastAsia="Wingdings 2" w:cs="Wingdings 2"/>
      <w:color w:val="0C0C0C"/>
      <w:sz w:val="20"/>
      <w:szCs w:val="20"/>
      <w:u w:val="none"/>
    </w:rPr>
  </w:style>
  <w:style w:type="character" w:customStyle="1" w:styleId="67">
    <w:name w:val="font61"/>
    <w:qFormat/>
    <w:uiPriority w:val="0"/>
    <w:rPr>
      <w:rFonts w:ascii="Arial" w:hAnsi="Arial" w:cs="Arial"/>
      <w:color w:val="000000"/>
      <w:sz w:val="20"/>
      <w:szCs w:val="20"/>
      <w:u w:val="none"/>
    </w:rPr>
  </w:style>
  <w:style w:type="character" w:customStyle="1" w:styleId="68">
    <w:name w:val="font01"/>
    <w:qFormat/>
    <w:uiPriority w:val="0"/>
    <w:rPr>
      <w:rFonts w:hint="eastAsia" w:ascii="宋体" w:hAnsi="宋体" w:eastAsia="宋体" w:cs="宋体"/>
      <w:color w:val="000000"/>
      <w:sz w:val="20"/>
      <w:szCs w:val="20"/>
      <w:u w:val="none"/>
    </w:rPr>
  </w:style>
  <w:style w:type="character" w:customStyle="1" w:styleId="69">
    <w:name w:val="font31"/>
    <w:qFormat/>
    <w:uiPriority w:val="0"/>
    <w:rPr>
      <w:rFonts w:hint="eastAsia" w:ascii="宋体" w:hAnsi="宋体" w:eastAsia="宋体" w:cs="宋体"/>
      <w:color w:val="000000"/>
      <w:sz w:val="20"/>
      <w:szCs w:val="20"/>
      <w:u w:val="single"/>
    </w:rPr>
  </w:style>
  <w:style w:type="character" w:customStyle="1" w:styleId="70">
    <w:name w:val="表格文字 Char"/>
    <w:link w:val="71"/>
    <w:qFormat/>
    <w:uiPriority w:val="0"/>
    <w:rPr>
      <w:rFonts w:ascii="宋体" w:hAnsi="宋体" w:eastAsia="楷体_GB2312" w:cs="Times New Roman"/>
      <w:snapToGrid w:val="0"/>
      <w:kern w:val="0"/>
      <w:szCs w:val="20"/>
    </w:rPr>
  </w:style>
  <w:style w:type="paragraph" w:customStyle="1" w:styleId="71">
    <w:name w:val="表格文字"/>
    <w:next w:val="1"/>
    <w:link w:val="70"/>
    <w:qFormat/>
    <w:uiPriority w:val="0"/>
    <w:pPr>
      <w:adjustRightInd w:val="0"/>
      <w:snapToGrid w:val="0"/>
      <w:spacing w:line="360" w:lineRule="exact"/>
      <w:jc w:val="center"/>
    </w:pPr>
    <w:rPr>
      <w:rFonts w:ascii="宋体" w:hAnsi="宋体" w:eastAsia="楷体_GB2312" w:cs="Times New Roman"/>
      <w:snapToGrid w:val="0"/>
      <w:kern w:val="0"/>
      <w:sz w:val="21"/>
      <w:szCs w:val="20"/>
      <w:lang w:val="en-US" w:eastAsia="zh-CN" w:bidi="ar-SA"/>
    </w:rPr>
  </w:style>
  <w:style w:type="character" w:customStyle="1" w:styleId="72">
    <w:name w:val="font71"/>
    <w:qFormat/>
    <w:uiPriority w:val="0"/>
    <w:rPr>
      <w:rFonts w:hint="eastAsia" w:ascii="宋体" w:hAnsi="宋体" w:eastAsia="宋体" w:cs="宋体"/>
      <w:color w:val="000000"/>
      <w:sz w:val="20"/>
      <w:szCs w:val="20"/>
      <w:u w:val="none"/>
    </w:rPr>
  </w:style>
  <w:style w:type="character" w:customStyle="1" w:styleId="73">
    <w:name w:val="文档结构图 字符"/>
    <w:link w:val="14"/>
    <w:qFormat/>
    <w:uiPriority w:val="99"/>
    <w:rPr>
      <w:rFonts w:ascii="宋体" w:eastAsia="宋体"/>
      <w:sz w:val="24"/>
      <w:szCs w:val="24"/>
    </w:rPr>
  </w:style>
  <w:style w:type="character" w:customStyle="1" w:styleId="74">
    <w:name w:val="正文2 Char"/>
    <w:link w:val="75"/>
    <w:qFormat/>
    <w:uiPriority w:val="0"/>
    <w:rPr>
      <w:rFonts w:ascii="Times New Roman" w:hAnsi="Times New Roman" w:eastAsia="仿宋_GB2312" w:cs="Times New Roman"/>
      <w:sz w:val="24"/>
      <w:szCs w:val="24"/>
    </w:rPr>
  </w:style>
  <w:style w:type="paragraph" w:customStyle="1" w:styleId="75">
    <w:name w:val="正文2"/>
    <w:basedOn w:val="1"/>
    <w:link w:val="74"/>
    <w:qFormat/>
    <w:uiPriority w:val="0"/>
    <w:pPr>
      <w:spacing w:line="360" w:lineRule="auto"/>
    </w:pPr>
    <w:rPr>
      <w:rFonts w:ascii="Times New Roman" w:hAnsi="Times New Roman" w:eastAsia="仿宋_GB2312" w:cs="Times New Roman"/>
      <w:sz w:val="24"/>
      <w:szCs w:val="24"/>
    </w:rPr>
  </w:style>
  <w:style w:type="character" w:customStyle="1" w:styleId="76">
    <w:name w:val="font41"/>
    <w:qFormat/>
    <w:uiPriority w:val="0"/>
    <w:rPr>
      <w:rFonts w:ascii="Calibri" w:hAnsi="Calibri" w:cs="Calibri"/>
      <w:color w:val="000000"/>
      <w:sz w:val="20"/>
      <w:szCs w:val="20"/>
      <w:u w:val="none"/>
    </w:rPr>
  </w:style>
  <w:style w:type="character" w:customStyle="1" w:styleId="77">
    <w:name w:val="font11"/>
    <w:qFormat/>
    <w:uiPriority w:val="0"/>
    <w:rPr>
      <w:rFonts w:hint="eastAsia" w:ascii="宋体" w:hAnsi="宋体" w:eastAsia="宋体" w:cs="宋体"/>
      <w:color w:val="000000"/>
      <w:sz w:val="20"/>
      <w:szCs w:val="20"/>
      <w:u w:val="none"/>
    </w:rPr>
  </w:style>
  <w:style w:type="paragraph" w:customStyle="1" w:styleId="78">
    <w:name w:val="列出段落2"/>
    <w:basedOn w:val="1"/>
    <w:qFormat/>
    <w:uiPriority w:val="99"/>
    <w:pPr>
      <w:ind w:firstLine="420" w:firstLineChars="200"/>
    </w:pPr>
    <w:rPr>
      <w:rFonts w:ascii="Calibri" w:hAnsi="Calibri" w:eastAsia="宋体" w:cs="Times New Roman"/>
    </w:rPr>
  </w:style>
  <w:style w:type="paragraph" w:customStyle="1" w:styleId="79">
    <w:name w:val="!我的正文 Ctr+Q"/>
    <w:basedOn w:val="80"/>
    <w:qFormat/>
    <w:uiPriority w:val="0"/>
    <w:pPr>
      <w:adjustRightInd w:val="0"/>
      <w:snapToGrid w:val="0"/>
      <w:ind w:firstLine="480"/>
    </w:pPr>
    <w:rPr>
      <w:rFonts w:ascii="宋体"/>
    </w:rPr>
  </w:style>
  <w:style w:type="paragraph" w:customStyle="1" w:styleId="80">
    <w:name w:val="!模板基准"/>
    <w:basedOn w:val="1"/>
    <w:semiHidden/>
    <w:qFormat/>
    <w:uiPriority w:val="0"/>
    <w:pPr>
      <w:widowControl/>
      <w:spacing w:before="50" w:beforeLines="50" w:after="50" w:afterLines="50"/>
      <w:ind w:firstLine="200" w:firstLineChars="200"/>
      <w:jc w:val="left"/>
    </w:pPr>
    <w:rPr>
      <w:rFonts w:ascii="Arial" w:hAnsi="Arial" w:eastAsia="宋体" w:cs="Times New Roman"/>
      <w:sz w:val="24"/>
      <w:szCs w:val="21"/>
    </w:rPr>
  </w:style>
  <w:style w:type="character" w:customStyle="1" w:styleId="81">
    <w:name w:val="文档结构图 字符1"/>
    <w:basedOn w:val="34"/>
    <w:semiHidden/>
    <w:qFormat/>
    <w:uiPriority w:val="99"/>
    <w:rPr>
      <w:rFonts w:ascii="Microsoft YaHei UI" w:eastAsia="Microsoft YaHei UI"/>
      <w:sz w:val="18"/>
      <w:szCs w:val="18"/>
    </w:rPr>
  </w:style>
  <w:style w:type="character" w:customStyle="1" w:styleId="82">
    <w:name w:val="文档结构图 Char1"/>
    <w:basedOn w:val="34"/>
    <w:semiHidden/>
    <w:qFormat/>
    <w:uiPriority w:val="99"/>
    <w:rPr>
      <w:rFonts w:ascii="宋体" w:eastAsia="宋体"/>
      <w:sz w:val="18"/>
      <w:szCs w:val="18"/>
    </w:rPr>
  </w:style>
  <w:style w:type="paragraph" w:customStyle="1" w:styleId="83">
    <w:name w:val="正文打点"/>
    <w:basedOn w:val="84"/>
    <w:qFormat/>
    <w:uiPriority w:val="0"/>
    <w:pPr>
      <w:ind w:left="420" w:firstLine="0" w:firstLineChars="0"/>
    </w:pPr>
  </w:style>
  <w:style w:type="paragraph" w:customStyle="1" w:styleId="84">
    <w:name w:val="正文new"/>
    <w:basedOn w:val="1"/>
    <w:qFormat/>
    <w:uiPriority w:val="0"/>
    <w:pPr>
      <w:ind w:firstLine="560" w:firstLineChars="200"/>
    </w:pPr>
    <w:rPr>
      <w:rFonts w:ascii="宋体" w:hAnsi="宋体" w:eastAsia="宋体" w:cs="Times New Roman"/>
      <w:szCs w:val="24"/>
    </w:rPr>
  </w:style>
  <w:style w:type="paragraph" w:customStyle="1" w:styleId="8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86">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87">
    <w:name w:val="TOC 标题1"/>
    <w:basedOn w:val="3"/>
    <w:next w:val="1"/>
    <w:unhideWhenUsed/>
    <w:qFormat/>
    <w:uiPriority w:val="39"/>
    <w:pPr>
      <w:widowControl/>
      <w:numPr>
        <w:numId w:val="0"/>
      </w:numPr>
      <w:spacing w:before="480" w:line="276" w:lineRule="auto"/>
      <w:jc w:val="left"/>
      <w:outlineLvl w:val="9"/>
    </w:pPr>
    <w:rPr>
      <w:rFonts w:ascii="Cambria" w:hAnsi="Cambria" w:eastAsia="宋体" w:cs="Times New Roman"/>
      <w:b/>
      <w:color w:val="366091"/>
      <w:kern w:val="0"/>
      <w:sz w:val="28"/>
      <w:szCs w:val="28"/>
    </w:rPr>
  </w:style>
  <w:style w:type="paragraph" w:customStyle="1" w:styleId="88">
    <w:name w:val="TOC 标题2"/>
    <w:basedOn w:val="3"/>
    <w:next w:val="1"/>
    <w:unhideWhenUsed/>
    <w:qFormat/>
    <w:uiPriority w:val="39"/>
    <w:pPr>
      <w:widowControl/>
      <w:numPr>
        <w:numId w:val="0"/>
      </w:numPr>
      <w:spacing w:before="480" w:line="276" w:lineRule="auto"/>
      <w:jc w:val="left"/>
      <w:outlineLvl w:val="9"/>
    </w:pPr>
    <w:rPr>
      <w:rFonts w:ascii="Cambria" w:hAnsi="Cambria" w:eastAsia="宋体" w:cs="Times New Roman"/>
      <w:b/>
      <w:color w:val="366091"/>
      <w:kern w:val="0"/>
      <w:sz w:val="28"/>
      <w:szCs w:val="28"/>
    </w:rPr>
  </w:style>
  <w:style w:type="paragraph" w:customStyle="1" w:styleId="89">
    <w:name w:val="列出段落3"/>
    <w:basedOn w:val="1"/>
    <w:qFormat/>
    <w:uiPriority w:val="34"/>
    <w:pPr>
      <w:ind w:firstLine="420" w:firstLineChars="200"/>
    </w:pPr>
    <w:rPr>
      <w:rFonts w:ascii="Calibri" w:hAnsi="Calibri" w:eastAsia="宋体" w:cs="Times New Roman"/>
    </w:rPr>
  </w:style>
  <w:style w:type="character" w:customStyle="1" w:styleId="90">
    <w:name w:val="Unresolved Mention"/>
    <w:basedOn w:val="34"/>
    <w:semiHidden/>
    <w:unhideWhenUsed/>
    <w:qFormat/>
    <w:uiPriority w:val="99"/>
    <w:rPr>
      <w:color w:val="605E5C"/>
      <w:shd w:val="clear" w:color="auto" w:fill="E1DFDD"/>
    </w:rPr>
  </w:style>
  <w:style w:type="character" w:customStyle="1" w:styleId="91">
    <w:name w:val="正文文本 字符"/>
    <w:basedOn w:val="34"/>
    <w:link w:val="16"/>
    <w:semiHidden/>
    <w:qFormat/>
    <w:uiPriority w:val="99"/>
    <w:rPr>
      <w:rFonts w:ascii="Times New Roman" w:hAnsi="Times New Roman" w:eastAsia="宋体" w:cs="Times New Roman"/>
      <w:sz w:val="28"/>
      <w:szCs w:val="24"/>
    </w:rPr>
  </w:style>
  <w:style w:type="paragraph" w:customStyle="1" w:styleId="92">
    <w:name w:val="Plain Text1"/>
    <w:basedOn w:val="1"/>
    <w:qFormat/>
    <w:uiPriority w:val="0"/>
    <w:pPr>
      <w:overflowPunct w:val="0"/>
      <w:autoSpaceDE w:val="0"/>
      <w:autoSpaceDN w:val="0"/>
      <w:adjustRightInd w:val="0"/>
      <w:textAlignment w:val="baseline"/>
    </w:pPr>
    <w:rPr>
      <w:rFonts w:ascii="宋体" w:hAnsi="Times New Roman" w:eastAsia="宋体" w:cs="Times New Roman"/>
      <w:kern w:val="0"/>
      <w:szCs w:val="20"/>
    </w:rPr>
  </w:style>
  <w:style w:type="paragraph" w:customStyle="1" w:styleId="93">
    <w:name w:val="Body Text Indent 31"/>
    <w:basedOn w:val="1"/>
    <w:qFormat/>
    <w:uiPriority w:val="0"/>
    <w:pPr>
      <w:widowControl/>
      <w:overflowPunct w:val="0"/>
      <w:autoSpaceDE w:val="0"/>
      <w:autoSpaceDN w:val="0"/>
      <w:adjustRightInd w:val="0"/>
      <w:ind w:left="283" w:firstLine="566"/>
      <w:jc w:val="left"/>
      <w:textAlignment w:val="baseline"/>
    </w:pPr>
    <w:rPr>
      <w:rFonts w:ascii="Times New Roman" w:hAnsi="Times New Roman" w:eastAsia="宋体" w:cs="Times New Roman"/>
      <w:kern w:val="0"/>
      <w:sz w:val="24"/>
      <w:szCs w:val="20"/>
    </w:rPr>
  </w:style>
  <w:style w:type="paragraph" w:customStyle="1" w:styleId="94">
    <w:name w:val="Normal_0_1"/>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D55823-F4C3-4100-88CA-9B8F5B8953D0}">
  <ds:schemaRefs/>
</ds:datastoreItem>
</file>

<file path=docProps/app.xml><?xml version="1.0" encoding="utf-8"?>
<Properties xmlns="http://schemas.openxmlformats.org/officeDocument/2006/extended-properties" xmlns:vt="http://schemas.openxmlformats.org/officeDocument/2006/docPropsVTypes">
  <Template>Normal</Template>
  <Manager>焦志凡18120497720</Manager>
  <Company>湖北恒越商务服务有限公司</Company>
  <Pages>55</Pages>
  <Words>4894</Words>
  <Characters>27902</Characters>
  <Lines>232</Lines>
  <Paragraphs>65</Paragraphs>
  <TotalTime>12</TotalTime>
  <ScaleCrop>false</ScaleCrop>
  <LinksUpToDate>false</LinksUpToDate>
  <CharactersWithSpaces>32731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2016-01-14T09:34:00Z</dcterms:created>
  <dc:creator>Administrator</dc:creator>
  <cp:lastModifiedBy>Administrator</cp:lastModifiedBy>
  <dcterms:modified xsi:type="dcterms:W3CDTF">2021-08-16T02:29:19Z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7D52FFFB8A33469F8824EE795DECCC08</vt:lpwstr>
  </property>
</Properties>
</file>