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highlight w:val="none"/>
          <w:lang w:val="en-US" w:eastAsia="zh-CN"/>
        </w:rPr>
      </w:pPr>
      <w:bookmarkStart w:id="0" w:name="_Hlk59117519"/>
      <w:bookmarkStart w:id="1" w:name="_Hlk64537943"/>
      <w:bookmarkStart w:id="2" w:name="_Hlk64546464"/>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bookmarkEnd w:id="0"/>
    <w:p>
      <w:pPr>
        <w:adjustRightInd w:val="0"/>
        <w:snapToGrid w:val="0"/>
        <w:jc w:val="center"/>
        <w:rPr>
          <w:rFonts w:ascii="黑体" w:hAnsi="黑体" w:eastAsia="黑体"/>
          <w:b/>
          <w:spacing w:val="60"/>
          <w:sz w:val="52"/>
          <w:szCs w:val="52"/>
          <w:highlight w:val="none"/>
          <w14:shadow w14:blurRad="50800" w14:dist="38100" w14:dir="2700000" w14:sx="100000" w14:sy="100000" w14:kx="0" w14:ky="0" w14:algn="tl">
            <w14:srgbClr w14:val="000000">
              <w14:alpha w14:val="60000"/>
            </w14:srgbClr>
          </w14:shadow>
        </w:rPr>
      </w:pPr>
      <w:r>
        <w:rPr>
          <w:rFonts w:hint="eastAsia" w:ascii="黑体" w:hAnsi="黑体" w:eastAsia="黑体"/>
          <w:b/>
          <w:spacing w:val="60"/>
          <w:sz w:val="52"/>
          <w:szCs w:val="52"/>
          <w:highlight w:val="none"/>
          <w14:shadow w14:blurRad="50800" w14:dist="38100" w14:dir="2700000" w14:sx="100000" w14:sy="100000" w14:kx="0" w14:ky="0" w14:algn="tl">
            <w14:srgbClr w14:val="000000">
              <w14:alpha w14:val="60000"/>
            </w14:srgbClr>
          </w14:shadow>
        </w:rPr>
        <w:t>湖北科技学院采购项目</w:t>
      </w:r>
    </w:p>
    <w:bookmarkEnd w:id="1"/>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黑体" w:hAnsi="黑体" w:eastAsia="黑体"/>
          <w:b/>
          <w:sz w:val="64"/>
          <w:szCs w:val="64"/>
          <w:highlight w:val="none"/>
          <w14:shadow w14:blurRad="50800" w14:dist="38100" w14:dir="2700000" w14:sx="100000" w14:sy="100000" w14:kx="0" w14:ky="0" w14:algn="tl">
            <w14:srgbClr w14:val="000000">
              <w14:alpha w14:val="60000"/>
            </w14:srgbClr>
          </w14:shadow>
        </w:rPr>
      </w:pPr>
      <w:r>
        <w:rPr>
          <w:rFonts w:hint="eastAsia" w:ascii="黑体" w:hAnsi="黑体" w:eastAsia="黑体"/>
          <w:b/>
          <w:sz w:val="64"/>
          <w:szCs w:val="64"/>
          <w:highlight w:val="none"/>
          <w14:shadow w14:blurRad="50800" w14:dist="38100" w14:dir="2700000" w14:sx="100000" w14:sy="100000" w14:kx="0" w14:ky="0" w14:algn="tl">
            <w14:srgbClr w14:val="000000">
              <w14:alpha w14:val="60000"/>
            </w14:srgbClr>
          </w14:shadow>
        </w:rPr>
        <w:t>竞争性磋商文件</w:t>
      </w: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tbl>
      <w:tblPr>
        <w:tblStyle w:val="32"/>
        <w:tblW w:w="0" w:type="auto"/>
        <w:jc w:val="center"/>
        <w:tblLayout w:type="fixed"/>
        <w:tblCellMar>
          <w:top w:w="0" w:type="dxa"/>
          <w:left w:w="108" w:type="dxa"/>
          <w:bottom w:w="0" w:type="dxa"/>
          <w:right w:w="108" w:type="dxa"/>
        </w:tblCellMar>
      </w:tblPr>
      <w:tblGrid>
        <w:gridCol w:w="1566"/>
        <w:gridCol w:w="6514"/>
      </w:tblGrid>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ascii="黑体" w:hAnsi="黑体" w:eastAsia="黑体"/>
                <w:bCs/>
                <w:color w:val="000000"/>
                <w:sz w:val="30"/>
                <w:szCs w:val="30"/>
                <w:highlight w:val="none"/>
              </w:rPr>
              <w:t>项目编号</w:t>
            </w:r>
            <w:r>
              <w:rPr>
                <w:rFonts w:hint="eastAsia" w:ascii="黑体" w:hAnsi="黑体" w:eastAsia="黑体"/>
                <w:bCs/>
                <w:color w:val="000000"/>
                <w:sz w:val="30"/>
                <w:szCs w:val="30"/>
                <w:highlight w:val="none"/>
              </w:rPr>
              <w:t>:</w:t>
            </w:r>
          </w:p>
        </w:tc>
        <w:tc>
          <w:tcPr>
            <w:tcW w:w="6514" w:type="dxa"/>
            <w:tcBorders>
              <w:bottom w:val="single" w:color="auto" w:sz="8" w:space="0"/>
            </w:tcBorders>
            <w:shd w:val="clear" w:color="auto" w:fill="auto"/>
            <w:vAlign w:val="bottom"/>
          </w:tcPr>
          <w:p>
            <w:pPr>
              <w:adjustRightInd w:val="0"/>
              <w:snapToGrid w:val="0"/>
              <w:jc w:val="center"/>
              <w:rPr>
                <w:rFonts w:hint="eastAsia" w:ascii="黑体" w:hAnsi="黑体" w:eastAsia="黑体"/>
                <w:bCs/>
                <w:color w:val="000000"/>
                <w:sz w:val="30"/>
                <w:szCs w:val="30"/>
                <w:highlight w:val="none"/>
                <w:lang w:eastAsia="zh-CN"/>
              </w:rPr>
            </w:pPr>
            <w:r>
              <w:rPr>
                <w:rFonts w:hint="eastAsia" w:ascii="黑体" w:hAnsi="黑体" w:eastAsia="黑体"/>
                <w:bCs/>
                <w:color w:val="000000"/>
                <w:sz w:val="30"/>
                <w:szCs w:val="30"/>
                <w:highlight w:val="none"/>
                <w:lang w:eastAsia="zh-CN"/>
              </w:rPr>
              <w:t>HK2021-076-Z</w:t>
            </w:r>
          </w:p>
        </w:tc>
      </w:tr>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ascii="黑体" w:hAnsi="黑体" w:eastAsia="黑体"/>
                <w:bCs/>
                <w:color w:val="000000"/>
                <w:sz w:val="30"/>
                <w:szCs w:val="30"/>
                <w:highlight w:val="none"/>
              </w:rPr>
              <w:t>项目名称</w:t>
            </w:r>
            <w:r>
              <w:rPr>
                <w:rFonts w:hint="eastAsia" w:ascii="黑体" w:hAnsi="黑体" w:eastAsia="黑体"/>
                <w:bCs/>
                <w:color w:val="000000"/>
                <w:sz w:val="30"/>
                <w:szCs w:val="30"/>
                <w:highlight w:val="none"/>
              </w:rPr>
              <w:t>:</w:t>
            </w:r>
          </w:p>
        </w:tc>
        <w:tc>
          <w:tcPr>
            <w:tcW w:w="6514" w:type="dxa"/>
            <w:tcBorders>
              <w:top w:val="single" w:color="auto" w:sz="8" w:space="0"/>
              <w:bottom w:val="single" w:color="auto" w:sz="8" w:space="0"/>
            </w:tcBorders>
            <w:shd w:val="clear" w:color="auto" w:fill="auto"/>
            <w:vAlign w:val="bottom"/>
          </w:tcPr>
          <w:p>
            <w:pPr>
              <w:adjustRightInd w:val="0"/>
              <w:snapToGrid w:val="0"/>
              <w:jc w:val="center"/>
              <w:rPr>
                <w:rFonts w:hint="eastAsia" w:ascii="黑体" w:hAnsi="黑体" w:eastAsia="黑体"/>
                <w:bCs/>
                <w:color w:val="000000"/>
                <w:sz w:val="30"/>
                <w:szCs w:val="30"/>
                <w:highlight w:val="none"/>
                <w:lang w:eastAsia="zh-CN"/>
              </w:rPr>
            </w:pPr>
            <w:r>
              <w:rPr>
                <w:rFonts w:hint="eastAsia" w:ascii="黑体" w:hAnsi="黑体" w:eastAsia="黑体"/>
                <w:bCs/>
                <w:color w:val="000000"/>
                <w:sz w:val="30"/>
                <w:szCs w:val="30"/>
                <w:highlight w:val="none"/>
                <w:lang w:eastAsia="zh-CN"/>
              </w:rPr>
              <w:t>湖北科技学院药学院2021年医药工程学科群设备采购项目</w:t>
            </w:r>
          </w:p>
        </w:tc>
      </w:tr>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hint="eastAsia" w:ascii="黑体" w:hAnsi="黑体" w:eastAsia="黑体"/>
                <w:bCs/>
                <w:color w:val="000000"/>
                <w:sz w:val="30"/>
                <w:szCs w:val="30"/>
                <w:highlight w:val="none"/>
              </w:rPr>
              <w:t>采购内容:</w:t>
            </w:r>
          </w:p>
        </w:tc>
        <w:tc>
          <w:tcPr>
            <w:tcW w:w="6514" w:type="dxa"/>
            <w:tcBorders>
              <w:top w:val="single" w:color="auto" w:sz="8" w:space="0"/>
              <w:bottom w:val="single" w:color="auto" w:sz="8" w:space="0"/>
            </w:tcBorders>
            <w:shd w:val="clear" w:color="auto" w:fill="auto"/>
            <w:vAlign w:val="bottom"/>
          </w:tcPr>
          <w:p>
            <w:pPr>
              <w:adjustRightInd w:val="0"/>
              <w:snapToGrid w:val="0"/>
              <w:jc w:val="center"/>
              <w:rPr>
                <w:rFonts w:ascii="黑体" w:hAnsi="黑体" w:eastAsia="黑体"/>
                <w:bCs/>
                <w:color w:val="000000"/>
                <w:sz w:val="30"/>
                <w:szCs w:val="30"/>
                <w:highlight w:val="none"/>
              </w:rPr>
            </w:pPr>
            <w:r>
              <w:rPr>
                <w:rFonts w:hint="eastAsia" w:ascii="黑体" w:hAnsi="黑体" w:eastAsia="黑体"/>
                <w:bCs/>
                <w:color w:val="000000"/>
                <w:sz w:val="30"/>
                <w:szCs w:val="30"/>
                <w:highlight w:val="none"/>
                <w:lang w:eastAsia="zh-CN"/>
              </w:rPr>
              <w:t>药学院2021年医药工程学科群设备采购</w:t>
            </w:r>
            <w:r>
              <w:rPr>
                <w:rFonts w:hint="eastAsia" w:ascii="黑体" w:hAnsi="黑体" w:eastAsia="黑体"/>
                <w:bCs/>
                <w:color w:val="000000"/>
                <w:sz w:val="30"/>
                <w:szCs w:val="30"/>
                <w:highlight w:val="none"/>
              </w:rPr>
              <w:t>1项</w:t>
            </w:r>
          </w:p>
        </w:tc>
      </w:tr>
    </w:tbl>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6"/>
        <w:gridCol w:w="3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0" w:type="auto"/>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采 购 人:</w:t>
            </w:r>
          </w:p>
        </w:tc>
        <w:tc>
          <w:tcPr>
            <w:tcW w:w="0" w:type="auto"/>
            <w:tcBorders>
              <w:bottom w:val="single" w:color="auto" w:sz="4" w:space="0"/>
            </w:tcBorders>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湖北科技学院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0" w:type="auto"/>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代理机构:</w:t>
            </w:r>
          </w:p>
        </w:tc>
        <w:tc>
          <w:tcPr>
            <w:tcW w:w="0" w:type="auto"/>
            <w:tcBorders>
              <w:top w:val="single" w:color="auto" w:sz="4" w:space="0"/>
              <w:bottom w:val="single" w:color="auto" w:sz="4" w:space="0"/>
            </w:tcBorders>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武汉富纳工程咨询有限公司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0" w:type="auto"/>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日　　期:</w:t>
            </w:r>
          </w:p>
        </w:tc>
        <w:tc>
          <w:tcPr>
            <w:tcW w:w="0" w:type="auto"/>
            <w:tcBorders>
              <w:top w:val="single" w:color="auto" w:sz="4" w:space="0"/>
              <w:bottom w:val="single" w:color="auto" w:sz="4" w:space="0"/>
            </w:tcBorders>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二〇二一年</w:t>
            </w:r>
            <w:r>
              <w:rPr>
                <w:rFonts w:hint="eastAsia" w:ascii="黑体" w:hAnsi="黑体" w:eastAsia="黑体"/>
                <w:bCs/>
                <w:sz w:val="30"/>
                <w:szCs w:val="30"/>
                <w:highlight w:val="none"/>
                <w:lang w:eastAsia="zh-CN"/>
              </w:rPr>
              <w:t>八</w:t>
            </w:r>
            <w:r>
              <w:rPr>
                <w:rFonts w:hint="eastAsia" w:ascii="黑体" w:hAnsi="黑体" w:eastAsia="黑体"/>
                <w:bCs/>
                <w:sz w:val="30"/>
                <w:szCs w:val="30"/>
                <w:highlight w:val="none"/>
              </w:rPr>
              <w:t>月</w:t>
            </w:r>
          </w:p>
        </w:tc>
      </w:tr>
      <w:bookmarkEnd w:id="2"/>
    </w:tbl>
    <w:p>
      <w:pPr>
        <w:jc w:val="center"/>
        <w:rPr>
          <w:highlight w:val="none"/>
        </w:rPr>
      </w:pPr>
    </w:p>
    <w:p>
      <w:pPr>
        <w:jc w:val="left"/>
        <w:rPr>
          <w:highlight w:val="none"/>
        </w:rPr>
      </w:pPr>
    </w:p>
    <w:p>
      <w:pPr>
        <w:jc w:val="left"/>
        <w:rPr>
          <w:rFonts w:ascii="黑体" w:hAnsi="宋体" w:eastAsia="黑体"/>
          <w:sz w:val="32"/>
          <w:szCs w:val="32"/>
          <w:highlight w:val="none"/>
        </w:rPr>
        <w:sectPr>
          <w:pgSz w:w="11907" w:h="16840"/>
          <w:pgMar w:top="1418" w:right="1418" w:bottom="1418" w:left="1418" w:header="851" w:footer="992" w:gutter="0"/>
          <w:cols w:space="425" w:num="1"/>
          <w:docGrid w:linePitch="312" w:charSpace="0"/>
        </w:sectPr>
      </w:pPr>
    </w:p>
    <w:p>
      <w:pPr>
        <w:jc w:val="center"/>
        <w:rPr>
          <w:rFonts w:ascii="黑体" w:hAnsi="宋体" w:eastAsia="黑体"/>
          <w:sz w:val="32"/>
          <w:szCs w:val="32"/>
          <w:highlight w:val="none"/>
        </w:rPr>
      </w:pPr>
      <w:r>
        <w:rPr>
          <w:rFonts w:hint="eastAsia" w:ascii="黑体" w:hAnsi="宋体" w:eastAsia="黑体"/>
          <w:sz w:val="32"/>
          <w:szCs w:val="32"/>
          <w:highlight w:val="none"/>
        </w:rPr>
        <w:t>目　录</w:t>
      </w:r>
    </w:p>
    <w:p>
      <w:pPr>
        <w:pStyle w:val="25"/>
        <w:rPr>
          <w:rFonts w:cstheme="minorBidi"/>
          <w:b w:val="0"/>
          <w:kern w:val="2"/>
          <w:sz w:val="21"/>
          <w:highlight w:val="none"/>
        </w:rPr>
      </w:pPr>
      <w:r>
        <w:rPr>
          <w:highlight w:val="none"/>
        </w:rPr>
        <w:fldChar w:fldCharType="begin"/>
      </w:r>
      <w:r>
        <w:rPr>
          <w:highlight w:val="none"/>
        </w:rPr>
        <w:instrText xml:space="preserve"> TOC \o \h \z \u </w:instrText>
      </w:r>
      <w:r>
        <w:rPr>
          <w:highlight w:val="none"/>
        </w:rPr>
        <w:fldChar w:fldCharType="separate"/>
      </w:r>
      <w:r>
        <w:rPr>
          <w:highlight w:val="none"/>
        </w:rPr>
        <w:fldChar w:fldCharType="begin"/>
      </w:r>
      <w:r>
        <w:rPr>
          <w:highlight w:val="none"/>
        </w:rPr>
        <w:instrText xml:space="preserve"> HYPERLINK \l "_Toc65158778" </w:instrText>
      </w:r>
      <w:r>
        <w:rPr>
          <w:highlight w:val="none"/>
        </w:rPr>
        <w:fldChar w:fldCharType="separate"/>
      </w:r>
      <w:r>
        <w:rPr>
          <w:rStyle w:val="36"/>
          <w:rFonts w:ascii="黑体" w:hAnsi="黑体"/>
          <w:highlight w:val="none"/>
        </w:rPr>
        <w:t>第一章</w:t>
      </w:r>
      <w:r>
        <w:rPr>
          <w:rStyle w:val="36"/>
          <w:highlight w:val="none"/>
        </w:rPr>
        <w:t xml:space="preserve"> 竞争性磋商公告</w:t>
      </w:r>
      <w:r>
        <w:rPr>
          <w:highlight w:val="none"/>
        </w:rPr>
        <w:tab/>
      </w:r>
      <w:r>
        <w:rPr>
          <w:highlight w:val="none"/>
        </w:rPr>
        <w:fldChar w:fldCharType="begin"/>
      </w:r>
      <w:r>
        <w:rPr>
          <w:highlight w:val="none"/>
        </w:rPr>
        <w:instrText xml:space="preserve"> PAGEREF _Toc65158778 \h </w:instrText>
      </w:r>
      <w:r>
        <w:rPr>
          <w:highlight w:val="none"/>
        </w:rPr>
        <w:fldChar w:fldCharType="separate"/>
      </w:r>
      <w:r>
        <w:rPr>
          <w:highlight w:val="none"/>
        </w:rPr>
        <w:t>1</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"_Toc65158779" </w:instrText>
      </w:r>
      <w:r>
        <w:rPr>
          <w:highlight w:val="none"/>
        </w:rPr>
        <w:fldChar w:fldCharType="separate"/>
      </w:r>
      <w:r>
        <w:rPr>
          <w:rStyle w:val="36"/>
          <w:rFonts w:ascii="黑体" w:hAnsi="黑体"/>
          <w:highlight w:val="none"/>
        </w:rPr>
        <w:t>第二章</w:t>
      </w:r>
      <w:r>
        <w:rPr>
          <w:rStyle w:val="36"/>
          <w:highlight w:val="none"/>
        </w:rPr>
        <w:t xml:space="preserve"> 供应商须知</w:t>
      </w:r>
      <w:r>
        <w:rPr>
          <w:highlight w:val="none"/>
        </w:rPr>
        <w:tab/>
      </w:r>
      <w:r>
        <w:rPr>
          <w:highlight w:val="none"/>
        </w:rPr>
        <w:fldChar w:fldCharType="begin"/>
      </w:r>
      <w:r>
        <w:rPr>
          <w:highlight w:val="none"/>
        </w:rPr>
        <w:instrText xml:space="preserve"> PAGEREF _Toc65158779 \h </w:instrText>
      </w:r>
      <w:r>
        <w:rPr>
          <w:highlight w:val="none"/>
        </w:rPr>
        <w:fldChar w:fldCharType="separate"/>
      </w:r>
      <w:r>
        <w:rPr>
          <w:highlight w:val="none"/>
        </w:rPr>
        <w:t>4</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"_Toc65158780" </w:instrText>
      </w:r>
      <w:r>
        <w:rPr>
          <w:highlight w:val="none"/>
        </w:rPr>
        <w:fldChar w:fldCharType="separate"/>
      </w:r>
      <w:r>
        <w:rPr>
          <w:rStyle w:val="36"/>
          <w:highlight w:val="none"/>
        </w:rPr>
        <w:t>供应商须知前附表</w:t>
      </w:r>
      <w:r>
        <w:rPr>
          <w:highlight w:val="none"/>
        </w:rPr>
        <w:tab/>
      </w:r>
      <w:r>
        <w:rPr>
          <w:highlight w:val="none"/>
        </w:rPr>
        <w:fldChar w:fldCharType="begin"/>
      </w:r>
      <w:r>
        <w:rPr>
          <w:highlight w:val="none"/>
        </w:rPr>
        <w:instrText xml:space="preserve"> PAGEREF _Toc65158780 \h </w:instrText>
      </w:r>
      <w:r>
        <w:rPr>
          <w:highlight w:val="none"/>
        </w:rPr>
        <w:fldChar w:fldCharType="separate"/>
      </w:r>
      <w:r>
        <w:rPr>
          <w:highlight w:val="none"/>
        </w:rPr>
        <w:t>4</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"_Toc65158781" </w:instrText>
      </w:r>
      <w:r>
        <w:rPr>
          <w:highlight w:val="none"/>
        </w:rPr>
        <w:fldChar w:fldCharType="separate"/>
      </w:r>
      <w:r>
        <w:rPr>
          <w:rStyle w:val="36"/>
          <w:highlight w:val="none"/>
        </w:rPr>
        <w:t>一、 说明</w:t>
      </w:r>
      <w:r>
        <w:rPr>
          <w:highlight w:val="none"/>
        </w:rPr>
        <w:tab/>
      </w:r>
      <w:r>
        <w:rPr>
          <w:highlight w:val="none"/>
        </w:rPr>
        <w:fldChar w:fldCharType="begin"/>
      </w:r>
      <w:r>
        <w:rPr>
          <w:highlight w:val="none"/>
        </w:rPr>
        <w:instrText xml:space="preserve"> PAGEREF _Toc65158781 \h </w:instrText>
      </w:r>
      <w:r>
        <w:rPr>
          <w:highlight w:val="none"/>
        </w:rPr>
        <w:fldChar w:fldCharType="separate"/>
      </w:r>
      <w:r>
        <w:rPr>
          <w:highlight w:val="none"/>
        </w:rPr>
        <w:t>5</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"_Toc65158782" </w:instrText>
      </w:r>
      <w:r>
        <w:rPr>
          <w:highlight w:val="none"/>
        </w:rPr>
        <w:fldChar w:fldCharType="separate"/>
      </w:r>
      <w:r>
        <w:rPr>
          <w:rStyle w:val="36"/>
          <w:highlight w:val="none"/>
        </w:rPr>
        <w:t>二、 磋商文件</w:t>
      </w:r>
      <w:r>
        <w:rPr>
          <w:highlight w:val="none"/>
        </w:rPr>
        <w:tab/>
      </w:r>
      <w:r>
        <w:rPr>
          <w:highlight w:val="none"/>
        </w:rPr>
        <w:fldChar w:fldCharType="begin"/>
      </w:r>
      <w:r>
        <w:rPr>
          <w:highlight w:val="none"/>
        </w:rPr>
        <w:instrText xml:space="preserve"> PAGEREF _Toc65158782 \h </w:instrText>
      </w:r>
      <w:r>
        <w:rPr>
          <w:highlight w:val="none"/>
        </w:rPr>
        <w:fldChar w:fldCharType="separate"/>
      </w:r>
      <w:r>
        <w:rPr>
          <w:highlight w:val="none"/>
        </w:rPr>
        <w:t>8</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"_Toc65158783" </w:instrText>
      </w:r>
      <w:r>
        <w:rPr>
          <w:highlight w:val="none"/>
        </w:rPr>
        <w:fldChar w:fldCharType="separate"/>
      </w:r>
      <w:r>
        <w:rPr>
          <w:rStyle w:val="36"/>
          <w:highlight w:val="none"/>
        </w:rPr>
        <w:t>三、 响应文件</w:t>
      </w:r>
      <w:r>
        <w:rPr>
          <w:highlight w:val="none"/>
        </w:rPr>
        <w:tab/>
      </w:r>
      <w:r>
        <w:rPr>
          <w:highlight w:val="none"/>
        </w:rPr>
        <w:fldChar w:fldCharType="begin"/>
      </w:r>
      <w:r>
        <w:rPr>
          <w:highlight w:val="none"/>
        </w:rPr>
        <w:instrText xml:space="preserve"> PAGEREF _Toc65158783 \h </w:instrText>
      </w:r>
      <w:r>
        <w:rPr>
          <w:highlight w:val="none"/>
        </w:rPr>
        <w:fldChar w:fldCharType="separate"/>
      </w:r>
      <w:r>
        <w:rPr>
          <w:highlight w:val="none"/>
        </w:rPr>
        <w:t>9</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"_Toc65158784" </w:instrText>
      </w:r>
      <w:r>
        <w:rPr>
          <w:highlight w:val="none"/>
        </w:rPr>
        <w:fldChar w:fldCharType="separate"/>
      </w:r>
      <w:r>
        <w:rPr>
          <w:rStyle w:val="36"/>
          <w:highlight w:val="none"/>
        </w:rPr>
        <w:t>四、 磋商与评审</w:t>
      </w:r>
      <w:r>
        <w:rPr>
          <w:highlight w:val="none"/>
        </w:rPr>
        <w:tab/>
      </w:r>
      <w:r>
        <w:rPr>
          <w:highlight w:val="none"/>
        </w:rPr>
        <w:fldChar w:fldCharType="begin"/>
      </w:r>
      <w:r>
        <w:rPr>
          <w:highlight w:val="none"/>
        </w:rPr>
        <w:instrText xml:space="preserve"> PAGEREF _Toc65158784 \h </w:instrText>
      </w:r>
      <w:r>
        <w:rPr>
          <w:highlight w:val="none"/>
        </w:rPr>
        <w:fldChar w:fldCharType="separate"/>
      </w:r>
      <w:r>
        <w:rPr>
          <w:highlight w:val="none"/>
        </w:rPr>
        <w:t>13</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"_Toc65158785" </w:instrText>
      </w:r>
      <w:r>
        <w:rPr>
          <w:highlight w:val="none"/>
        </w:rPr>
        <w:fldChar w:fldCharType="separate"/>
      </w:r>
      <w:r>
        <w:rPr>
          <w:rStyle w:val="36"/>
          <w:highlight w:val="none"/>
        </w:rPr>
        <w:t>五、 信用及查询</w:t>
      </w:r>
      <w:r>
        <w:rPr>
          <w:highlight w:val="none"/>
        </w:rPr>
        <w:tab/>
      </w:r>
      <w:r>
        <w:rPr>
          <w:highlight w:val="none"/>
        </w:rPr>
        <w:fldChar w:fldCharType="begin"/>
      </w:r>
      <w:r>
        <w:rPr>
          <w:highlight w:val="none"/>
        </w:rPr>
        <w:instrText xml:space="preserve"> PAGEREF _Toc65158785 \h </w:instrText>
      </w:r>
      <w:r>
        <w:rPr>
          <w:highlight w:val="none"/>
        </w:rPr>
        <w:fldChar w:fldCharType="separate"/>
      </w:r>
      <w:r>
        <w:rPr>
          <w:highlight w:val="none"/>
        </w:rPr>
        <w:t>16</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"_Toc65158786" </w:instrText>
      </w:r>
      <w:r>
        <w:rPr>
          <w:highlight w:val="none"/>
        </w:rPr>
        <w:fldChar w:fldCharType="separate"/>
      </w:r>
      <w:r>
        <w:rPr>
          <w:rStyle w:val="36"/>
          <w:highlight w:val="none"/>
        </w:rPr>
        <w:t>六、 成交与合同</w:t>
      </w:r>
      <w:r>
        <w:rPr>
          <w:highlight w:val="none"/>
        </w:rPr>
        <w:tab/>
      </w:r>
      <w:r>
        <w:rPr>
          <w:highlight w:val="none"/>
        </w:rPr>
        <w:fldChar w:fldCharType="begin"/>
      </w:r>
      <w:r>
        <w:rPr>
          <w:highlight w:val="none"/>
        </w:rPr>
        <w:instrText xml:space="preserve"> PAGEREF _Toc65158786 \h </w:instrText>
      </w:r>
      <w:r>
        <w:rPr>
          <w:highlight w:val="none"/>
        </w:rPr>
        <w:fldChar w:fldCharType="separate"/>
      </w:r>
      <w:r>
        <w:rPr>
          <w:highlight w:val="none"/>
        </w:rPr>
        <w:t>16</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"_Toc65158787" </w:instrText>
      </w:r>
      <w:r>
        <w:rPr>
          <w:highlight w:val="none"/>
        </w:rPr>
        <w:fldChar w:fldCharType="separate"/>
      </w:r>
      <w:r>
        <w:rPr>
          <w:rStyle w:val="36"/>
          <w:highlight w:val="none"/>
        </w:rPr>
        <w:t>七、 公告与媒体</w:t>
      </w:r>
      <w:r>
        <w:rPr>
          <w:highlight w:val="none"/>
        </w:rPr>
        <w:tab/>
      </w:r>
      <w:r>
        <w:rPr>
          <w:highlight w:val="none"/>
        </w:rPr>
        <w:fldChar w:fldCharType="begin"/>
      </w:r>
      <w:r>
        <w:rPr>
          <w:highlight w:val="none"/>
        </w:rPr>
        <w:instrText xml:space="preserve"> PAGEREF _Toc65158787 \h </w:instrText>
      </w:r>
      <w:r>
        <w:rPr>
          <w:highlight w:val="none"/>
        </w:rPr>
        <w:fldChar w:fldCharType="separate"/>
      </w:r>
      <w:r>
        <w:rPr>
          <w:highlight w:val="none"/>
        </w:rPr>
        <w:t>18</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"_Toc65158788" </w:instrText>
      </w:r>
      <w:r>
        <w:rPr>
          <w:highlight w:val="none"/>
        </w:rPr>
        <w:fldChar w:fldCharType="separate"/>
      </w:r>
      <w:r>
        <w:rPr>
          <w:rStyle w:val="36"/>
          <w:highlight w:val="none"/>
        </w:rPr>
        <w:t>八、 质疑及投诉</w:t>
      </w:r>
      <w:r>
        <w:rPr>
          <w:highlight w:val="none"/>
        </w:rPr>
        <w:tab/>
      </w:r>
      <w:r>
        <w:rPr>
          <w:highlight w:val="none"/>
        </w:rPr>
        <w:fldChar w:fldCharType="begin"/>
      </w:r>
      <w:r>
        <w:rPr>
          <w:highlight w:val="none"/>
        </w:rPr>
        <w:instrText xml:space="preserve"> PAGEREF _Toc65158788 \h </w:instrText>
      </w:r>
      <w:r>
        <w:rPr>
          <w:highlight w:val="none"/>
        </w:rPr>
        <w:fldChar w:fldCharType="separate"/>
      </w:r>
      <w:r>
        <w:rPr>
          <w:highlight w:val="none"/>
        </w:rPr>
        <w:t>18</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"_Toc65158789" </w:instrText>
      </w:r>
      <w:r>
        <w:rPr>
          <w:highlight w:val="none"/>
        </w:rPr>
        <w:fldChar w:fldCharType="separate"/>
      </w:r>
      <w:r>
        <w:rPr>
          <w:rStyle w:val="36"/>
          <w:highlight w:val="none"/>
        </w:rPr>
        <w:t>九、 无效与终止</w:t>
      </w:r>
      <w:r>
        <w:rPr>
          <w:highlight w:val="none"/>
        </w:rPr>
        <w:tab/>
      </w:r>
      <w:r>
        <w:rPr>
          <w:highlight w:val="none"/>
        </w:rPr>
        <w:fldChar w:fldCharType="begin"/>
      </w:r>
      <w:r>
        <w:rPr>
          <w:highlight w:val="none"/>
        </w:rPr>
        <w:instrText xml:space="preserve"> PAGEREF _Toc65158789 \h </w:instrText>
      </w:r>
      <w:r>
        <w:rPr>
          <w:highlight w:val="none"/>
        </w:rPr>
        <w:fldChar w:fldCharType="separate"/>
      </w:r>
      <w:r>
        <w:rPr>
          <w:highlight w:val="none"/>
        </w:rPr>
        <w:t>20</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"_Toc65158790" </w:instrText>
      </w:r>
      <w:r>
        <w:rPr>
          <w:highlight w:val="none"/>
        </w:rPr>
        <w:fldChar w:fldCharType="separate"/>
      </w:r>
      <w:r>
        <w:rPr>
          <w:rStyle w:val="36"/>
          <w:highlight w:val="none"/>
        </w:rPr>
        <w:t>十、 纪律与监督</w:t>
      </w:r>
      <w:r>
        <w:rPr>
          <w:highlight w:val="none"/>
        </w:rPr>
        <w:tab/>
      </w:r>
      <w:r>
        <w:rPr>
          <w:highlight w:val="none"/>
        </w:rPr>
        <w:fldChar w:fldCharType="begin"/>
      </w:r>
      <w:r>
        <w:rPr>
          <w:highlight w:val="none"/>
        </w:rPr>
        <w:instrText xml:space="preserve"> PAGEREF _Toc65158790 \h </w:instrText>
      </w:r>
      <w:r>
        <w:rPr>
          <w:highlight w:val="none"/>
        </w:rPr>
        <w:fldChar w:fldCharType="separate"/>
      </w:r>
      <w:r>
        <w:rPr>
          <w:highlight w:val="none"/>
        </w:rPr>
        <w:t>20</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"_Toc65158791" </w:instrText>
      </w:r>
      <w:r>
        <w:rPr>
          <w:highlight w:val="none"/>
        </w:rPr>
        <w:fldChar w:fldCharType="separate"/>
      </w:r>
      <w:r>
        <w:rPr>
          <w:rStyle w:val="36"/>
          <w:highlight w:val="none"/>
        </w:rPr>
        <w:t>十一、 条文解读</w:t>
      </w:r>
      <w:r>
        <w:rPr>
          <w:highlight w:val="none"/>
        </w:rPr>
        <w:tab/>
      </w:r>
      <w:r>
        <w:rPr>
          <w:highlight w:val="none"/>
        </w:rPr>
        <w:fldChar w:fldCharType="begin"/>
      </w:r>
      <w:r>
        <w:rPr>
          <w:highlight w:val="none"/>
        </w:rPr>
        <w:instrText xml:space="preserve"> PAGEREF _Toc65158791 \h </w:instrText>
      </w:r>
      <w:r>
        <w:rPr>
          <w:highlight w:val="none"/>
        </w:rPr>
        <w:fldChar w:fldCharType="separate"/>
      </w:r>
      <w:r>
        <w:rPr>
          <w:highlight w:val="none"/>
        </w:rPr>
        <w:t>21</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"_Toc65158792" </w:instrText>
      </w:r>
      <w:r>
        <w:rPr>
          <w:highlight w:val="none"/>
        </w:rPr>
        <w:fldChar w:fldCharType="separate"/>
      </w:r>
      <w:r>
        <w:rPr>
          <w:rStyle w:val="36"/>
          <w:highlight w:val="none"/>
        </w:rPr>
        <w:t>十二、 注意事项</w:t>
      </w:r>
      <w:r>
        <w:rPr>
          <w:highlight w:val="none"/>
        </w:rPr>
        <w:tab/>
      </w:r>
      <w:r>
        <w:rPr>
          <w:highlight w:val="none"/>
        </w:rPr>
        <w:fldChar w:fldCharType="begin"/>
      </w:r>
      <w:r>
        <w:rPr>
          <w:highlight w:val="none"/>
        </w:rPr>
        <w:instrText xml:space="preserve"> PAGEREF _Toc65158792 \h </w:instrText>
      </w:r>
      <w:r>
        <w:rPr>
          <w:highlight w:val="none"/>
        </w:rPr>
        <w:fldChar w:fldCharType="separate"/>
      </w:r>
      <w:r>
        <w:rPr>
          <w:highlight w:val="none"/>
        </w:rPr>
        <w:t>22</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"_Toc65158793" </w:instrText>
      </w:r>
      <w:r>
        <w:rPr>
          <w:highlight w:val="none"/>
        </w:rPr>
        <w:fldChar w:fldCharType="separate"/>
      </w:r>
      <w:r>
        <w:rPr>
          <w:rStyle w:val="36"/>
          <w:highlight w:val="none"/>
        </w:rPr>
        <w:t>十三、 适用法律</w:t>
      </w:r>
      <w:r>
        <w:rPr>
          <w:highlight w:val="none"/>
        </w:rPr>
        <w:tab/>
      </w:r>
      <w:r>
        <w:rPr>
          <w:highlight w:val="none"/>
        </w:rPr>
        <w:fldChar w:fldCharType="begin"/>
      </w:r>
      <w:r>
        <w:rPr>
          <w:highlight w:val="none"/>
        </w:rPr>
        <w:instrText xml:space="preserve"> PAGEREF _Toc65158793 \h </w:instrText>
      </w:r>
      <w:r>
        <w:rPr>
          <w:highlight w:val="none"/>
        </w:rPr>
        <w:fldChar w:fldCharType="separate"/>
      </w:r>
      <w:r>
        <w:rPr>
          <w:highlight w:val="none"/>
        </w:rPr>
        <w:t>22</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"_Toc65158794" </w:instrText>
      </w:r>
      <w:r>
        <w:rPr>
          <w:highlight w:val="none"/>
        </w:rPr>
        <w:fldChar w:fldCharType="separate"/>
      </w:r>
      <w:r>
        <w:rPr>
          <w:rStyle w:val="36"/>
          <w:highlight w:val="none"/>
        </w:rPr>
        <w:t>十四、 解释权</w:t>
      </w:r>
      <w:r>
        <w:rPr>
          <w:highlight w:val="none"/>
        </w:rPr>
        <w:tab/>
      </w:r>
      <w:r>
        <w:rPr>
          <w:highlight w:val="none"/>
        </w:rPr>
        <w:fldChar w:fldCharType="begin"/>
      </w:r>
      <w:r>
        <w:rPr>
          <w:highlight w:val="none"/>
        </w:rPr>
        <w:instrText xml:space="preserve"> PAGEREF _Toc65158794 \h </w:instrText>
      </w:r>
      <w:r>
        <w:rPr>
          <w:highlight w:val="none"/>
        </w:rPr>
        <w:fldChar w:fldCharType="separate"/>
      </w:r>
      <w:r>
        <w:rPr>
          <w:highlight w:val="none"/>
        </w:rPr>
        <w:t>22</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"_Toc65158795" </w:instrText>
      </w:r>
      <w:r>
        <w:rPr>
          <w:highlight w:val="none"/>
        </w:rPr>
        <w:fldChar w:fldCharType="separate"/>
      </w:r>
      <w:r>
        <w:rPr>
          <w:rStyle w:val="36"/>
          <w:rFonts w:ascii="黑体" w:hAnsi="黑体"/>
          <w:highlight w:val="none"/>
        </w:rPr>
        <w:t>第三章</w:t>
      </w:r>
      <w:r>
        <w:rPr>
          <w:rStyle w:val="36"/>
          <w:highlight w:val="none"/>
        </w:rPr>
        <w:t xml:space="preserve"> 项目需求书</w:t>
      </w:r>
      <w:r>
        <w:rPr>
          <w:highlight w:val="none"/>
        </w:rPr>
        <w:tab/>
      </w:r>
      <w:r>
        <w:rPr>
          <w:highlight w:val="none"/>
        </w:rPr>
        <w:fldChar w:fldCharType="begin"/>
      </w:r>
      <w:r>
        <w:rPr>
          <w:highlight w:val="none"/>
        </w:rPr>
        <w:instrText xml:space="preserve"> PAGEREF _Toc65158795 \h </w:instrText>
      </w:r>
      <w:r>
        <w:rPr>
          <w:highlight w:val="none"/>
        </w:rPr>
        <w:fldChar w:fldCharType="separate"/>
      </w:r>
      <w:r>
        <w:rPr>
          <w:highlight w:val="none"/>
        </w:rPr>
        <w:t>23</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"_Toc65158796" </w:instrText>
      </w:r>
      <w:r>
        <w:rPr>
          <w:highlight w:val="none"/>
        </w:rPr>
        <w:fldChar w:fldCharType="separate"/>
      </w:r>
      <w:r>
        <w:rPr>
          <w:rStyle w:val="36"/>
          <w:highlight w:val="none"/>
        </w:rPr>
        <w:t>一、 项目背景概述</w:t>
      </w:r>
      <w:r>
        <w:rPr>
          <w:highlight w:val="none"/>
        </w:rPr>
        <w:tab/>
      </w:r>
      <w:r>
        <w:rPr>
          <w:highlight w:val="none"/>
        </w:rPr>
        <w:fldChar w:fldCharType="begin"/>
      </w:r>
      <w:r>
        <w:rPr>
          <w:highlight w:val="none"/>
        </w:rPr>
        <w:instrText xml:space="preserve"> PAGEREF _Toc65158796 \h </w:instrText>
      </w:r>
      <w:r>
        <w:rPr>
          <w:highlight w:val="none"/>
        </w:rPr>
        <w:fldChar w:fldCharType="separate"/>
      </w:r>
      <w:r>
        <w:rPr>
          <w:highlight w:val="none"/>
        </w:rPr>
        <w:t>23</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"_Toc65158797" </w:instrText>
      </w:r>
      <w:r>
        <w:rPr>
          <w:highlight w:val="none"/>
        </w:rPr>
        <w:fldChar w:fldCharType="separate"/>
      </w:r>
      <w:r>
        <w:rPr>
          <w:rStyle w:val="36"/>
          <w:highlight w:val="none"/>
        </w:rPr>
        <w:t>二、 项目采购清单</w:t>
      </w:r>
      <w:r>
        <w:rPr>
          <w:highlight w:val="none"/>
        </w:rPr>
        <w:tab/>
      </w:r>
      <w:r>
        <w:rPr>
          <w:highlight w:val="none"/>
        </w:rPr>
        <w:fldChar w:fldCharType="begin"/>
      </w:r>
      <w:r>
        <w:rPr>
          <w:highlight w:val="none"/>
        </w:rPr>
        <w:instrText xml:space="preserve"> PAGEREF _Toc65158797 \h </w:instrText>
      </w:r>
      <w:r>
        <w:rPr>
          <w:highlight w:val="none"/>
        </w:rPr>
        <w:fldChar w:fldCharType="separate"/>
      </w:r>
      <w:r>
        <w:rPr>
          <w:highlight w:val="none"/>
        </w:rPr>
        <w:t>24</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"_Toc65158798" </w:instrText>
      </w:r>
      <w:r>
        <w:rPr>
          <w:highlight w:val="none"/>
        </w:rPr>
        <w:fldChar w:fldCharType="separate"/>
      </w:r>
      <w:r>
        <w:rPr>
          <w:rStyle w:val="36"/>
          <w:highlight w:val="none"/>
        </w:rPr>
        <w:t>三、 技术服务要求</w:t>
      </w:r>
      <w:r>
        <w:rPr>
          <w:highlight w:val="none"/>
        </w:rPr>
        <w:tab/>
      </w:r>
      <w:r>
        <w:rPr>
          <w:highlight w:val="none"/>
        </w:rPr>
        <w:fldChar w:fldCharType="begin"/>
      </w:r>
      <w:r>
        <w:rPr>
          <w:highlight w:val="none"/>
        </w:rPr>
        <w:instrText xml:space="preserve"> PAGEREF _Toc65158798 \h </w:instrText>
      </w:r>
      <w:r>
        <w:rPr>
          <w:highlight w:val="none"/>
        </w:rPr>
        <w:fldChar w:fldCharType="separate"/>
      </w:r>
      <w:r>
        <w:rPr>
          <w:highlight w:val="none"/>
        </w:rPr>
        <w:t>26</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"_Toc65158799" </w:instrText>
      </w:r>
      <w:r>
        <w:rPr>
          <w:highlight w:val="none"/>
        </w:rPr>
        <w:fldChar w:fldCharType="separate"/>
      </w:r>
      <w:r>
        <w:rPr>
          <w:rStyle w:val="36"/>
          <w:highlight w:val="none"/>
        </w:rPr>
        <w:t>四、 其他商务要求</w:t>
      </w:r>
      <w:r>
        <w:rPr>
          <w:highlight w:val="none"/>
        </w:rPr>
        <w:tab/>
      </w:r>
      <w:r>
        <w:rPr>
          <w:highlight w:val="none"/>
        </w:rPr>
        <w:fldChar w:fldCharType="begin"/>
      </w:r>
      <w:r>
        <w:rPr>
          <w:highlight w:val="none"/>
        </w:rPr>
        <w:instrText xml:space="preserve"> PAGEREF _Toc65158799 \h </w:instrText>
      </w:r>
      <w:r>
        <w:rPr>
          <w:highlight w:val="none"/>
        </w:rPr>
        <w:fldChar w:fldCharType="separate"/>
      </w:r>
      <w:r>
        <w:rPr>
          <w:highlight w:val="none"/>
        </w:rPr>
        <w:t>45</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"_Toc65158800" </w:instrText>
      </w:r>
      <w:r>
        <w:rPr>
          <w:highlight w:val="none"/>
        </w:rPr>
        <w:fldChar w:fldCharType="separate"/>
      </w:r>
      <w:r>
        <w:rPr>
          <w:rStyle w:val="36"/>
          <w:rFonts w:ascii="黑体" w:hAnsi="黑体"/>
          <w:highlight w:val="none"/>
        </w:rPr>
        <w:t>第四章</w:t>
      </w:r>
      <w:r>
        <w:rPr>
          <w:rStyle w:val="36"/>
          <w:highlight w:val="none"/>
        </w:rPr>
        <w:t xml:space="preserve"> 评审标准及方法</w:t>
      </w:r>
      <w:r>
        <w:rPr>
          <w:highlight w:val="none"/>
        </w:rPr>
        <w:tab/>
      </w:r>
      <w:r>
        <w:rPr>
          <w:highlight w:val="none"/>
        </w:rPr>
        <w:fldChar w:fldCharType="begin"/>
      </w:r>
      <w:r>
        <w:rPr>
          <w:highlight w:val="none"/>
        </w:rPr>
        <w:instrText xml:space="preserve"> PAGEREF _Toc65158800 \h </w:instrText>
      </w:r>
      <w:r>
        <w:rPr>
          <w:highlight w:val="none"/>
        </w:rPr>
        <w:fldChar w:fldCharType="separate"/>
      </w:r>
      <w:r>
        <w:rPr>
          <w:highlight w:val="none"/>
        </w:rPr>
        <w:t>46</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"_Toc65158801" </w:instrText>
      </w:r>
      <w:r>
        <w:rPr>
          <w:highlight w:val="none"/>
        </w:rPr>
        <w:fldChar w:fldCharType="separate"/>
      </w:r>
      <w:r>
        <w:rPr>
          <w:rStyle w:val="36"/>
          <w:highlight w:val="none"/>
        </w:rPr>
        <w:t>一、 评审方法</w:t>
      </w:r>
      <w:r>
        <w:rPr>
          <w:highlight w:val="none"/>
        </w:rPr>
        <w:tab/>
      </w:r>
      <w:r>
        <w:rPr>
          <w:highlight w:val="none"/>
        </w:rPr>
        <w:fldChar w:fldCharType="begin"/>
      </w:r>
      <w:r>
        <w:rPr>
          <w:highlight w:val="none"/>
        </w:rPr>
        <w:instrText xml:space="preserve"> PAGEREF _Toc65158801 \h </w:instrText>
      </w:r>
      <w:r>
        <w:rPr>
          <w:highlight w:val="none"/>
        </w:rPr>
        <w:fldChar w:fldCharType="separate"/>
      </w:r>
      <w:r>
        <w:rPr>
          <w:highlight w:val="none"/>
        </w:rPr>
        <w:t>46</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"_Toc65158802" </w:instrText>
      </w:r>
      <w:r>
        <w:rPr>
          <w:highlight w:val="none"/>
        </w:rPr>
        <w:fldChar w:fldCharType="separate"/>
      </w:r>
      <w:r>
        <w:rPr>
          <w:rStyle w:val="36"/>
          <w:highlight w:val="none"/>
        </w:rPr>
        <w:t>二、 评审程序</w:t>
      </w:r>
      <w:r>
        <w:rPr>
          <w:highlight w:val="none"/>
        </w:rPr>
        <w:tab/>
      </w:r>
      <w:r>
        <w:rPr>
          <w:highlight w:val="none"/>
        </w:rPr>
        <w:fldChar w:fldCharType="begin"/>
      </w:r>
      <w:r>
        <w:rPr>
          <w:highlight w:val="none"/>
        </w:rPr>
        <w:instrText xml:space="preserve"> PAGEREF _Toc65158802 \h </w:instrText>
      </w:r>
      <w:r>
        <w:rPr>
          <w:highlight w:val="none"/>
        </w:rPr>
        <w:fldChar w:fldCharType="separate"/>
      </w:r>
      <w:r>
        <w:rPr>
          <w:highlight w:val="none"/>
        </w:rPr>
        <w:t>46</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"_Toc65158803" </w:instrText>
      </w:r>
      <w:r>
        <w:rPr>
          <w:highlight w:val="none"/>
        </w:rPr>
        <w:fldChar w:fldCharType="separate"/>
      </w:r>
      <w:r>
        <w:rPr>
          <w:rStyle w:val="36"/>
          <w:highlight w:val="none"/>
        </w:rPr>
        <w:t>1. 资格性审查</w:t>
      </w:r>
      <w:r>
        <w:rPr>
          <w:highlight w:val="none"/>
        </w:rPr>
        <w:tab/>
      </w:r>
      <w:r>
        <w:rPr>
          <w:highlight w:val="none"/>
        </w:rPr>
        <w:fldChar w:fldCharType="begin"/>
      </w:r>
      <w:r>
        <w:rPr>
          <w:highlight w:val="none"/>
        </w:rPr>
        <w:instrText xml:space="preserve"> PAGEREF _Toc65158803 \h </w:instrText>
      </w:r>
      <w:r>
        <w:rPr>
          <w:highlight w:val="none"/>
        </w:rPr>
        <w:fldChar w:fldCharType="separate"/>
      </w:r>
      <w:r>
        <w:rPr>
          <w:highlight w:val="none"/>
        </w:rPr>
        <w:t>46</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"_Toc65158804" </w:instrText>
      </w:r>
      <w:r>
        <w:rPr>
          <w:highlight w:val="none"/>
        </w:rPr>
        <w:fldChar w:fldCharType="separate"/>
      </w:r>
      <w:r>
        <w:rPr>
          <w:rStyle w:val="36"/>
          <w:highlight w:val="none"/>
        </w:rPr>
        <w:t>2. 符合性审查</w:t>
      </w:r>
      <w:r>
        <w:rPr>
          <w:highlight w:val="none"/>
        </w:rPr>
        <w:tab/>
      </w:r>
      <w:r>
        <w:rPr>
          <w:highlight w:val="none"/>
        </w:rPr>
        <w:fldChar w:fldCharType="begin"/>
      </w:r>
      <w:r>
        <w:rPr>
          <w:highlight w:val="none"/>
        </w:rPr>
        <w:instrText xml:space="preserve"> PAGEREF _Toc65158804 \h </w:instrText>
      </w:r>
      <w:r>
        <w:rPr>
          <w:highlight w:val="none"/>
        </w:rPr>
        <w:fldChar w:fldCharType="separate"/>
      </w:r>
      <w:r>
        <w:rPr>
          <w:highlight w:val="none"/>
        </w:rPr>
        <w:t>48</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"_Toc65158805" </w:instrText>
      </w:r>
      <w:r>
        <w:rPr>
          <w:highlight w:val="none"/>
        </w:rPr>
        <w:fldChar w:fldCharType="separate"/>
      </w:r>
      <w:r>
        <w:rPr>
          <w:rStyle w:val="36"/>
          <w:highlight w:val="none"/>
        </w:rPr>
        <w:t>3. 磋商及报价</w:t>
      </w:r>
      <w:r>
        <w:rPr>
          <w:highlight w:val="none"/>
        </w:rPr>
        <w:tab/>
      </w:r>
      <w:r>
        <w:rPr>
          <w:highlight w:val="none"/>
        </w:rPr>
        <w:fldChar w:fldCharType="begin"/>
      </w:r>
      <w:r>
        <w:rPr>
          <w:highlight w:val="none"/>
        </w:rPr>
        <w:instrText xml:space="preserve"> PAGEREF _Toc65158805 \h </w:instrText>
      </w:r>
      <w:r>
        <w:rPr>
          <w:highlight w:val="none"/>
        </w:rPr>
        <w:fldChar w:fldCharType="separate"/>
      </w:r>
      <w:r>
        <w:rPr>
          <w:highlight w:val="none"/>
        </w:rPr>
        <w:t>49</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"_Toc65158806" </w:instrText>
      </w:r>
      <w:r>
        <w:rPr>
          <w:highlight w:val="none"/>
        </w:rPr>
        <w:fldChar w:fldCharType="separate"/>
      </w:r>
      <w:r>
        <w:rPr>
          <w:rStyle w:val="36"/>
          <w:highlight w:val="none"/>
        </w:rPr>
        <w:t>4. 综合评比</w:t>
      </w:r>
      <w:r>
        <w:rPr>
          <w:highlight w:val="none"/>
        </w:rPr>
        <w:tab/>
      </w:r>
      <w:r>
        <w:rPr>
          <w:highlight w:val="none"/>
        </w:rPr>
        <w:fldChar w:fldCharType="begin"/>
      </w:r>
      <w:r>
        <w:rPr>
          <w:highlight w:val="none"/>
        </w:rPr>
        <w:instrText xml:space="preserve"> PAGEREF _Toc65158806 \h </w:instrText>
      </w:r>
      <w:r>
        <w:rPr>
          <w:highlight w:val="none"/>
        </w:rPr>
        <w:fldChar w:fldCharType="separate"/>
      </w:r>
      <w:r>
        <w:rPr>
          <w:highlight w:val="none"/>
        </w:rPr>
        <w:t>50</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"_Toc65158807" </w:instrText>
      </w:r>
      <w:r>
        <w:rPr>
          <w:highlight w:val="none"/>
        </w:rPr>
        <w:fldChar w:fldCharType="separate"/>
      </w:r>
      <w:r>
        <w:rPr>
          <w:rStyle w:val="36"/>
          <w:highlight w:val="none"/>
        </w:rPr>
        <w:t>5. 确定名单</w:t>
      </w:r>
      <w:r>
        <w:rPr>
          <w:highlight w:val="none"/>
        </w:rPr>
        <w:tab/>
      </w:r>
      <w:r>
        <w:rPr>
          <w:highlight w:val="none"/>
        </w:rPr>
        <w:fldChar w:fldCharType="begin"/>
      </w:r>
      <w:r>
        <w:rPr>
          <w:highlight w:val="none"/>
        </w:rPr>
        <w:instrText xml:space="preserve"> PAGEREF _Toc65158807 \h </w:instrText>
      </w:r>
      <w:r>
        <w:rPr>
          <w:highlight w:val="none"/>
        </w:rPr>
        <w:fldChar w:fldCharType="separate"/>
      </w:r>
      <w:r>
        <w:rPr>
          <w:highlight w:val="none"/>
        </w:rPr>
        <w:t>51</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"_Toc65158808" </w:instrText>
      </w:r>
      <w:r>
        <w:rPr>
          <w:highlight w:val="none"/>
        </w:rPr>
        <w:fldChar w:fldCharType="separate"/>
      </w:r>
      <w:r>
        <w:rPr>
          <w:rStyle w:val="36"/>
          <w:highlight w:val="none"/>
        </w:rPr>
        <w:t>三、 评审标准</w:t>
      </w:r>
      <w:r>
        <w:rPr>
          <w:highlight w:val="none"/>
        </w:rPr>
        <w:tab/>
      </w:r>
      <w:r>
        <w:rPr>
          <w:highlight w:val="none"/>
        </w:rPr>
        <w:fldChar w:fldCharType="begin"/>
      </w:r>
      <w:r>
        <w:rPr>
          <w:highlight w:val="none"/>
        </w:rPr>
        <w:instrText xml:space="preserve"> PAGEREF _Toc65158808 \h </w:instrText>
      </w:r>
      <w:r>
        <w:rPr>
          <w:highlight w:val="none"/>
        </w:rPr>
        <w:fldChar w:fldCharType="separate"/>
      </w:r>
      <w:r>
        <w:rPr>
          <w:highlight w:val="none"/>
        </w:rPr>
        <w:t>52</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"_Toc65158809" </w:instrText>
      </w:r>
      <w:r>
        <w:rPr>
          <w:highlight w:val="none"/>
        </w:rPr>
        <w:fldChar w:fldCharType="separate"/>
      </w:r>
      <w:r>
        <w:rPr>
          <w:rStyle w:val="36"/>
          <w:rFonts w:ascii="黑体" w:hAnsi="黑体"/>
          <w:highlight w:val="none"/>
        </w:rPr>
        <w:t>第五章</w:t>
      </w:r>
      <w:r>
        <w:rPr>
          <w:rStyle w:val="36"/>
          <w:highlight w:val="none"/>
        </w:rPr>
        <w:t xml:space="preserve"> 合同书格式</w:t>
      </w:r>
      <w:r>
        <w:rPr>
          <w:highlight w:val="none"/>
        </w:rPr>
        <w:tab/>
      </w:r>
      <w:r>
        <w:rPr>
          <w:highlight w:val="none"/>
        </w:rPr>
        <w:fldChar w:fldCharType="begin"/>
      </w:r>
      <w:r>
        <w:rPr>
          <w:highlight w:val="none"/>
        </w:rPr>
        <w:instrText xml:space="preserve"> PAGEREF _Toc65158809 \h </w:instrText>
      </w:r>
      <w:r>
        <w:rPr>
          <w:highlight w:val="none"/>
        </w:rPr>
        <w:fldChar w:fldCharType="separate"/>
      </w:r>
      <w:r>
        <w:rPr>
          <w:highlight w:val="none"/>
        </w:rPr>
        <w:t>54</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"_Toc65158810" </w:instrText>
      </w:r>
      <w:r>
        <w:rPr>
          <w:highlight w:val="none"/>
        </w:rPr>
        <w:fldChar w:fldCharType="separate"/>
      </w:r>
      <w:r>
        <w:rPr>
          <w:rStyle w:val="36"/>
          <w:rFonts w:ascii="黑体" w:hAnsi="黑体"/>
          <w:highlight w:val="none"/>
        </w:rPr>
        <w:t>第六章</w:t>
      </w:r>
      <w:r>
        <w:rPr>
          <w:rStyle w:val="36"/>
          <w:highlight w:val="none"/>
        </w:rPr>
        <w:t xml:space="preserve"> 响应文件格式</w:t>
      </w:r>
      <w:r>
        <w:rPr>
          <w:highlight w:val="none"/>
        </w:rPr>
        <w:tab/>
      </w:r>
      <w:r>
        <w:rPr>
          <w:highlight w:val="none"/>
        </w:rPr>
        <w:fldChar w:fldCharType="begin"/>
      </w:r>
      <w:r>
        <w:rPr>
          <w:highlight w:val="none"/>
        </w:rPr>
        <w:instrText xml:space="preserve"> PAGEREF _Toc65158810 \h </w:instrText>
      </w:r>
      <w:r>
        <w:rPr>
          <w:highlight w:val="none"/>
        </w:rPr>
        <w:fldChar w:fldCharType="separate"/>
      </w:r>
      <w:r>
        <w:rPr>
          <w:highlight w:val="none"/>
        </w:rPr>
        <w:t>57</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"_Toc65158811" </w:instrText>
      </w:r>
      <w:r>
        <w:rPr>
          <w:highlight w:val="none"/>
        </w:rPr>
        <w:fldChar w:fldCharType="separate"/>
      </w:r>
      <w:r>
        <w:rPr>
          <w:rStyle w:val="36"/>
          <w:highlight w:val="none"/>
        </w:rPr>
        <w:t>响应文件封面</w:t>
      </w:r>
      <w:r>
        <w:rPr>
          <w:highlight w:val="none"/>
        </w:rPr>
        <w:tab/>
      </w:r>
      <w:r>
        <w:rPr>
          <w:highlight w:val="none"/>
        </w:rPr>
        <w:fldChar w:fldCharType="begin"/>
      </w:r>
      <w:r>
        <w:rPr>
          <w:highlight w:val="none"/>
        </w:rPr>
        <w:instrText xml:space="preserve"> PAGEREF _Toc65158811 \h </w:instrText>
      </w:r>
      <w:r>
        <w:rPr>
          <w:highlight w:val="none"/>
        </w:rPr>
        <w:fldChar w:fldCharType="separate"/>
      </w:r>
      <w:r>
        <w:rPr>
          <w:highlight w:val="none"/>
        </w:rPr>
        <w:t>57</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"_Toc65158812" </w:instrText>
      </w:r>
      <w:r>
        <w:rPr>
          <w:highlight w:val="none"/>
        </w:rPr>
        <w:fldChar w:fldCharType="separate"/>
      </w:r>
      <w:r>
        <w:rPr>
          <w:rStyle w:val="36"/>
          <w:highlight w:val="none"/>
        </w:rPr>
        <w:t>一、 磋商函</w:t>
      </w:r>
      <w:r>
        <w:rPr>
          <w:highlight w:val="none"/>
        </w:rPr>
        <w:tab/>
      </w:r>
      <w:r>
        <w:rPr>
          <w:highlight w:val="none"/>
        </w:rPr>
        <w:fldChar w:fldCharType="begin"/>
      </w:r>
      <w:r>
        <w:rPr>
          <w:highlight w:val="none"/>
        </w:rPr>
        <w:instrText xml:space="preserve"> PAGEREF _Toc65158812 \h </w:instrText>
      </w:r>
      <w:r>
        <w:rPr>
          <w:highlight w:val="none"/>
        </w:rPr>
        <w:fldChar w:fldCharType="separate"/>
      </w:r>
      <w:r>
        <w:rPr>
          <w:highlight w:val="none"/>
        </w:rPr>
        <w:t>58</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"_Toc65158813" </w:instrText>
      </w:r>
      <w:r>
        <w:rPr>
          <w:highlight w:val="none"/>
        </w:rPr>
        <w:fldChar w:fldCharType="separate"/>
      </w:r>
      <w:r>
        <w:rPr>
          <w:rStyle w:val="36"/>
          <w:highlight w:val="none"/>
        </w:rPr>
        <w:t>二、 报价一览表</w:t>
      </w:r>
      <w:r>
        <w:rPr>
          <w:highlight w:val="none"/>
        </w:rPr>
        <w:tab/>
      </w:r>
      <w:r>
        <w:rPr>
          <w:highlight w:val="none"/>
        </w:rPr>
        <w:fldChar w:fldCharType="begin"/>
      </w:r>
      <w:r>
        <w:rPr>
          <w:highlight w:val="none"/>
        </w:rPr>
        <w:instrText xml:space="preserve"> PAGEREF _Toc65158813 \h </w:instrText>
      </w:r>
      <w:r>
        <w:rPr>
          <w:highlight w:val="none"/>
        </w:rPr>
        <w:fldChar w:fldCharType="separate"/>
      </w:r>
      <w:r>
        <w:rPr>
          <w:highlight w:val="none"/>
        </w:rPr>
        <w:t>59</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"_Toc65158814" </w:instrText>
      </w:r>
      <w:r>
        <w:rPr>
          <w:highlight w:val="none"/>
        </w:rPr>
        <w:fldChar w:fldCharType="separate"/>
      </w:r>
      <w:r>
        <w:rPr>
          <w:rStyle w:val="36"/>
          <w:highlight w:val="none"/>
        </w:rPr>
        <w:t>三、 报价明细表</w:t>
      </w:r>
      <w:r>
        <w:rPr>
          <w:highlight w:val="none"/>
        </w:rPr>
        <w:tab/>
      </w:r>
      <w:r>
        <w:rPr>
          <w:highlight w:val="none"/>
        </w:rPr>
        <w:fldChar w:fldCharType="begin"/>
      </w:r>
      <w:r>
        <w:rPr>
          <w:highlight w:val="none"/>
        </w:rPr>
        <w:instrText xml:space="preserve"> PAGEREF _Toc65158814 \h </w:instrText>
      </w:r>
      <w:r>
        <w:rPr>
          <w:highlight w:val="none"/>
        </w:rPr>
        <w:fldChar w:fldCharType="separate"/>
      </w:r>
      <w:r>
        <w:rPr>
          <w:highlight w:val="none"/>
        </w:rPr>
        <w:t>60</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"_Toc65158815" </w:instrText>
      </w:r>
      <w:r>
        <w:rPr>
          <w:highlight w:val="none"/>
        </w:rPr>
        <w:fldChar w:fldCharType="separate"/>
      </w:r>
      <w:r>
        <w:rPr>
          <w:rStyle w:val="36"/>
          <w:highlight w:val="none"/>
        </w:rPr>
        <w:t>四、 法定代表人身份证明书</w:t>
      </w:r>
      <w:r>
        <w:rPr>
          <w:highlight w:val="none"/>
        </w:rPr>
        <w:tab/>
      </w:r>
      <w:r>
        <w:rPr>
          <w:highlight w:val="none"/>
        </w:rPr>
        <w:fldChar w:fldCharType="begin"/>
      </w:r>
      <w:r>
        <w:rPr>
          <w:highlight w:val="none"/>
        </w:rPr>
        <w:instrText xml:space="preserve"> PAGEREF _Toc65158815 \h </w:instrText>
      </w:r>
      <w:r>
        <w:rPr>
          <w:highlight w:val="none"/>
        </w:rPr>
        <w:fldChar w:fldCharType="separate"/>
      </w:r>
      <w:r>
        <w:rPr>
          <w:highlight w:val="none"/>
        </w:rPr>
        <w:t>61</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"_Toc65158816" </w:instrText>
      </w:r>
      <w:r>
        <w:rPr>
          <w:highlight w:val="none"/>
        </w:rPr>
        <w:fldChar w:fldCharType="separate"/>
      </w:r>
      <w:r>
        <w:rPr>
          <w:rStyle w:val="36"/>
          <w:highlight w:val="none"/>
        </w:rPr>
        <w:t>五、 法定代表人授权委托书</w:t>
      </w:r>
      <w:r>
        <w:rPr>
          <w:highlight w:val="none"/>
        </w:rPr>
        <w:tab/>
      </w:r>
      <w:r>
        <w:rPr>
          <w:highlight w:val="none"/>
        </w:rPr>
        <w:fldChar w:fldCharType="begin"/>
      </w:r>
      <w:r>
        <w:rPr>
          <w:highlight w:val="none"/>
        </w:rPr>
        <w:instrText xml:space="preserve"> PAGEREF _Toc65158816 \h </w:instrText>
      </w:r>
      <w:r>
        <w:rPr>
          <w:highlight w:val="none"/>
        </w:rPr>
        <w:fldChar w:fldCharType="separate"/>
      </w:r>
      <w:r>
        <w:rPr>
          <w:highlight w:val="none"/>
        </w:rPr>
        <w:t>62</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"_Toc65158817" </w:instrText>
      </w:r>
      <w:r>
        <w:rPr>
          <w:highlight w:val="none"/>
        </w:rPr>
        <w:fldChar w:fldCharType="separate"/>
      </w:r>
      <w:r>
        <w:rPr>
          <w:rStyle w:val="36"/>
          <w:highlight w:val="none"/>
        </w:rPr>
        <w:t>六、 商务响应偏离表</w:t>
      </w:r>
      <w:r>
        <w:rPr>
          <w:highlight w:val="none"/>
        </w:rPr>
        <w:tab/>
      </w:r>
      <w:r>
        <w:rPr>
          <w:highlight w:val="none"/>
        </w:rPr>
        <w:fldChar w:fldCharType="begin"/>
      </w:r>
      <w:r>
        <w:rPr>
          <w:highlight w:val="none"/>
        </w:rPr>
        <w:instrText xml:space="preserve"> PAGEREF _Toc65158817 \h </w:instrText>
      </w:r>
      <w:r>
        <w:rPr>
          <w:highlight w:val="none"/>
        </w:rPr>
        <w:fldChar w:fldCharType="separate"/>
      </w:r>
      <w:r>
        <w:rPr>
          <w:highlight w:val="none"/>
        </w:rPr>
        <w:t>63</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"_Toc65158818" </w:instrText>
      </w:r>
      <w:r>
        <w:rPr>
          <w:highlight w:val="none"/>
        </w:rPr>
        <w:fldChar w:fldCharType="separate"/>
      </w:r>
      <w:r>
        <w:rPr>
          <w:rStyle w:val="36"/>
          <w:highlight w:val="none"/>
        </w:rPr>
        <w:t>七、 技术响应偏离表</w:t>
      </w:r>
      <w:r>
        <w:rPr>
          <w:highlight w:val="none"/>
        </w:rPr>
        <w:tab/>
      </w:r>
      <w:r>
        <w:rPr>
          <w:highlight w:val="none"/>
        </w:rPr>
        <w:fldChar w:fldCharType="begin"/>
      </w:r>
      <w:r>
        <w:rPr>
          <w:highlight w:val="none"/>
        </w:rPr>
        <w:instrText xml:space="preserve"> PAGEREF _Toc65158818 \h </w:instrText>
      </w:r>
      <w:r>
        <w:rPr>
          <w:highlight w:val="none"/>
        </w:rPr>
        <w:fldChar w:fldCharType="separate"/>
      </w:r>
      <w:r>
        <w:rPr>
          <w:highlight w:val="none"/>
        </w:rPr>
        <w:t>64</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"_Toc65158819" </w:instrText>
      </w:r>
      <w:r>
        <w:rPr>
          <w:highlight w:val="none"/>
        </w:rPr>
        <w:fldChar w:fldCharType="separate"/>
      </w:r>
      <w:r>
        <w:rPr>
          <w:rStyle w:val="36"/>
          <w:highlight w:val="none"/>
        </w:rPr>
        <w:t>八、 商务证明文件</w:t>
      </w:r>
      <w:r>
        <w:rPr>
          <w:highlight w:val="none"/>
        </w:rPr>
        <w:tab/>
      </w:r>
      <w:r>
        <w:rPr>
          <w:highlight w:val="none"/>
        </w:rPr>
        <w:fldChar w:fldCharType="begin"/>
      </w:r>
      <w:r>
        <w:rPr>
          <w:highlight w:val="none"/>
        </w:rPr>
        <w:instrText xml:space="preserve"> PAGEREF _Toc65158819 \h </w:instrText>
      </w:r>
      <w:r>
        <w:rPr>
          <w:highlight w:val="none"/>
        </w:rPr>
        <w:fldChar w:fldCharType="separate"/>
      </w:r>
      <w:r>
        <w:rPr>
          <w:highlight w:val="none"/>
        </w:rPr>
        <w:t>65</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"_Toc65158820" </w:instrText>
      </w:r>
      <w:r>
        <w:rPr>
          <w:highlight w:val="none"/>
        </w:rPr>
        <w:fldChar w:fldCharType="separate"/>
      </w:r>
      <w:r>
        <w:rPr>
          <w:rStyle w:val="36"/>
          <w:highlight w:val="none"/>
        </w:rPr>
        <w:t>1. 商业信誉承诺函</w:t>
      </w:r>
      <w:r>
        <w:rPr>
          <w:highlight w:val="none"/>
        </w:rPr>
        <w:tab/>
      </w:r>
      <w:r>
        <w:rPr>
          <w:highlight w:val="none"/>
        </w:rPr>
        <w:fldChar w:fldCharType="begin"/>
      </w:r>
      <w:r>
        <w:rPr>
          <w:highlight w:val="none"/>
        </w:rPr>
        <w:instrText xml:space="preserve"> PAGEREF _Toc65158820 \h </w:instrText>
      </w:r>
      <w:r>
        <w:rPr>
          <w:highlight w:val="none"/>
        </w:rPr>
        <w:fldChar w:fldCharType="separate"/>
      </w:r>
      <w:r>
        <w:rPr>
          <w:highlight w:val="none"/>
        </w:rPr>
        <w:t>66</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"_Toc65158821" </w:instrText>
      </w:r>
      <w:r>
        <w:rPr>
          <w:highlight w:val="none"/>
        </w:rPr>
        <w:fldChar w:fldCharType="separate"/>
      </w:r>
      <w:r>
        <w:rPr>
          <w:rStyle w:val="36"/>
          <w:highlight w:val="none"/>
        </w:rPr>
        <w:t>2. 无重大违法记录声明函</w:t>
      </w:r>
      <w:r>
        <w:rPr>
          <w:highlight w:val="none"/>
        </w:rPr>
        <w:tab/>
      </w:r>
      <w:r>
        <w:rPr>
          <w:highlight w:val="none"/>
        </w:rPr>
        <w:fldChar w:fldCharType="begin"/>
      </w:r>
      <w:r>
        <w:rPr>
          <w:highlight w:val="none"/>
        </w:rPr>
        <w:instrText xml:space="preserve"> PAGEREF _Toc65158821 \h </w:instrText>
      </w:r>
      <w:r>
        <w:rPr>
          <w:highlight w:val="none"/>
        </w:rPr>
        <w:fldChar w:fldCharType="separate"/>
      </w:r>
      <w:r>
        <w:rPr>
          <w:highlight w:val="none"/>
        </w:rPr>
        <w:t>67</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"_Toc65158822" </w:instrText>
      </w:r>
      <w:r>
        <w:rPr>
          <w:highlight w:val="none"/>
        </w:rPr>
        <w:fldChar w:fldCharType="separate"/>
      </w:r>
      <w:r>
        <w:rPr>
          <w:rStyle w:val="36"/>
          <w:highlight w:val="none"/>
        </w:rPr>
        <w:t>3. 非联合体磋商声明函</w:t>
      </w:r>
      <w:r>
        <w:rPr>
          <w:highlight w:val="none"/>
        </w:rPr>
        <w:tab/>
      </w:r>
      <w:r>
        <w:rPr>
          <w:highlight w:val="none"/>
        </w:rPr>
        <w:fldChar w:fldCharType="begin"/>
      </w:r>
      <w:r>
        <w:rPr>
          <w:highlight w:val="none"/>
        </w:rPr>
        <w:instrText xml:space="preserve"> PAGEREF _Toc65158822 \h </w:instrText>
      </w:r>
      <w:r>
        <w:rPr>
          <w:highlight w:val="none"/>
        </w:rPr>
        <w:fldChar w:fldCharType="separate"/>
      </w:r>
      <w:r>
        <w:rPr>
          <w:highlight w:val="none"/>
        </w:rPr>
        <w:t>68</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"_Toc65158823" </w:instrText>
      </w:r>
      <w:r>
        <w:rPr>
          <w:highlight w:val="none"/>
        </w:rPr>
        <w:fldChar w:fldCharType="separate"/>
      </w:r>
      <w:r>
        <w:rPr>
          <w:rStyle w:val="36"/>
          <w:highlight w:val="none"/>
        </w:rPr>
        <w:t>九、 技术服务文件</w:t>
      </w:r>
      <w:r>
        <w:rPr>
          <w:highlight w:val="none"/>
        </w:rPr>
        <w:tab/>
      </w:r>
      <w:r>
        <w:rPr>
          <w:highlight w:val="none"/>
        </w:rPr>
        <w:fldChar w:fldCharType="begin"/>
      </w:r>
      <w:r>
        <w:rPr>
          <w:highlight w:val="none"/>
        </w:rPr>
        <w:instrText xml:space="preserve"> PAGEREF _Toc65158823 \h </w:instrText>
      </w:r>
      <w:r>
        <w:rPr>
          <w:highlight w:val="none"/>
        </w:rPr>
        <w:fldChar w:fldCharType="separate"/>
      </w:r>
      <w:r>
        <w:rPr>
          <w:highlight w:val="none"/>
        </w:rPr>
        <w:t>69</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"_Toc65158824" </w:instrText>
      </w:r>
      <w:r>
        <w:rPr>
          <w:highlight w:val="none"/>
        </w:rPr>
        <w:fldChar w:fldCharType="separate"/>
      </w:r>
      <w:r>
        <w:rPr>
          <w:rStyle w:val="36"/>
          <w:rFonts w:ascii="黑体" w:hAnsi="黑体"/>
          <w:highlight w:val="none"/>
        </w:rPr>
        <w:t>第七章</w:t>
      </w:r>
      <w:r>
        <w:rPr>
          <w:rStyle w:val="36"/>
          <w:highlight w:val="none"/>
        </w:rPr>
        <w:t xml:space="preserve"> 相关附件及要求</w:t>
      </w:r>
      <w:r>
        <w:rPr>
          <w:highlight w:val="none"/>
        </w:rPr>
        <w:tab/>
      </w:r>
      <w:r>
        <w:rPr>
          <w:highlight w:val="none"/>
        </w:rPr>
        <w:fldChar w:fldCharType="begin"/>
      </w:r>
      <w:r>
        <w:rPr>
          <w:highlight w:val="none"/>
        </w:rPr>
        <w:instrText xml:space="preserve"> PAGEREF _Toc65158824 \h </w:instrText>
      </w:r>
      <w:r>
        <w:rPr>
          <w:highlight w:val="none"/>
        </w:rPr>
        <w:fldChar w:fldCharType="separate"/>
      </w:r>
      <w:r>
        <w:rPr>
          <w:highlight w:val="none"/>
        </w:rPr>
        <w:t>70</w:t>
      </w:r>
      <w:r>
        <w:rPr>
          <w:highlight w:val="none"/>
        </w:rPr>
        <w:fldChar w:fldCharType="end"/>
      </w:r>
      <w:r>
        <w:rPr>
          <w:highlight w:val="none"/>
        </w:rPr>
        <w:fldChar w:fldCharType="end"/>
      </w:r>
    </w:p>
    <w:p>
      <w:pPr>
        <w:spacing w:line="400" w:lineRule="exact"/>
        <w:rPr>
          <w:rFonts w:cs="Times New Roman"/>
          <w:kern w:val="0"/>
          <w:sz w:val="24"/>
          <w:highlight w:val="none"/>
        </w:rPr>
        <w:sectPr>
          <w:footerReference r:id="rId3" w:type="default"/>
          <w:pgSz w:w="11907" w:h="16840"/>
          <w:pgMar w:top="1418" w:right="1418" w:bottom="1418" w:left="1588" w:header="851" w:footer="992" w:gutter="0"/>
          <w:pgNumType w:fmt="upperRoman" w:start="1"/>
          <w:cols w:space="425" w:num="1"/>
          <w:docGrid w:linePitch="312" w:charSpace="0"/>
        </w:sectPr>
      </w:pPr>
      <w:r>
        <w:rPr>
          <w:rFonts w:cs="Times New Roman"/>
          <w:kern w:val="0"/>
          <w:sz w:val="24"/>
          <w:highlight w:val="none"/>
        </w:rPr>
        <w:fldChar w:fldCharType="end"/>
      </w:r>
    </w:p>
    <w:p>
      <w:pPr>
        <w:pStyle w:val="3"/>
        <w:jc w:val="center"/>
        <w:rPr>
          <w:sz w:val="36"/>
          <w:szCs w:val="36"/>
          <w:highlight w:val="none"/>
        </w:rPr>
      </w:pPr>
      <w:bookmarkStart w:id="3" w:name="_Toc511894492"/>
      <w:bookmarkStart w:id="4" w:name="_Toc38457786"/>
      <w:bookmarkStart w:id="5" w:name="_Toc511889414"/>
      <w:bookmarkStart w:id="6" w:name="_Toc2782562"/>
      <w:bookmarkStart w:id="7" w:name="_Toc65158778"/>
      <w:bookmarkStart w:id="8" w:name="_Toc440620494"/>
      <w:r>
        <w:rPr>
          <w:rFonts w:hint="eastAsia"/>
          <w:sz w:val="36"/>
          <w:szCs w:val="36"/>
          <w:highlight w:val="none"/>
        </w:rPr>
        <w:t>竞争性磋商公告</w:t>
      </w:r>
      <w:bookmarkEnd w:id="3"/>
      <w:bookmarkEnd w:id="4"/>
      <w:bookmarkEnd w:id="5"/>
      <w:bookmarkEnd w:id="6"/>
      <w:bookmarkEnd w:id="7"/>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pacing w:line="360" w:lineRule="auto"/>
              <w:rPr>
                <w:rFonts w:ascii="宋体" w:hAnsi="宋体"/>
                <w:sz w:val="24"/>
                <w:szCs w:val="24"/>
                <w:highlight w:val="none"/>
              </w:rPr>
            </w:pPr>
            <w:r>
              <w:rPr>
                <w:rFonts w:hint="eastAsia" w:ascii="宋体" w:hAnsi="宋体"/>
                <w:sz w:val="24"/>
                <w:szCs w:val="24"/>
                <w:highlight w:val="none"/>
              </w:rPr>
              <w:t>项目概况</w:t>
            </w:r>
          </w:p>
          <w:p>
            <w:pPr>
              <w:spacing w:line="360" w:lineRule="auto"/>
              <w:ind w:firstLine="482" w:firstLineChars="200"/>
              <w:rPr>
                <w:rFonts w:ascii="宋体" w:hAnsi="宋体"/>
                <w:sz w:val="24"/>
                <w:szCs w:val="24"/>
                <w:highlight w:val="none"/>
              </w:rPr>
            </w:pPr>
            <w:r>
              <w:rPr>
                <w:rFonts w:hint="eastAsia" w:ascii="宋体" w:hAnsi="宋体"/>
                <w:b/>
                <w:bCs/>
                <w:sz w:val="24"/>
                <w:szCs w:val="24"/>
                <w:highlight w:val="none"/>
                <w:u w:val="single"/>
                <w:lang w:eastAsia="zh-CN"/>
              </w:rPr>
              <w:t>湖北科技学院药学院2021年医药工程学科群设备采购项目</w:t>
            </w:r>
            <w:r>
              <w:rPr>
                <w:rFonts w:hint="eastAsia" w:ascii="宋体" w:hAnsi="宋体"/>
                <w:sz w:val="24"/>
                <w:szCs w:val="24"/>
                <w:highlight w:val="none"/>
              </w:rPr>
              <w:t>的潜在供应商应在</w:t>
            </w:r>
            <w:r>
              <w:rPr>
                <w:rFonts w:hint="eastAsia" w:ascii="宋体" w:hAnsi="宋体"/>
                <w:sz w:val="24"/>
                <w:szCs w:val="24"/>
                <w:highlight w:val="none"/>
                <w:u w:val="single"/>
              </w:rPr>
              <w:t>咸宁市咸宁大道39号国际大厦B座100</w:t>
            </w:r>
            <w:r>
              <w:rPr>
                <w:rFonts w:hint="eastAsia" w:ascii="宋体" w:hAnsi="宋体"/>
                <w:sz w:val="24"/>
                <w:szCs w:val="24"/>
                <w:highlight w:val="none"/>
                <w:u w:val="single"/>
                <w:lang w:val="en-US" w:eastAsia="zh-CN"/>
              </w:rPr>
              <w:t>3</w:t>
            </w:r>
            <w:r>
              <w:rPr>
                <w:rFonts w:hint="eastAsia" w:ascii="宋体" w:hAnsi="宋体"/>
                <w:sz w:val="24"/>
                <w:szCs w:val="24"/>
                <w:highlight w:val="none"/>
                <w:u w:val="single"/>
              </w:rPr>
              <w:t>室</w:t>
            </w:r>
            <w:r>
              <w:rPr>
                <w:rFonts w:hint="eastAsia" w:ascii="宋体" w:hAnsi="宋体"/>
                <w:sz w:val="24"/>
                <w:szCs w:val="24"/>
                <w:highlight w:val="none"/>
              </w:rPr>
              <w:t>获取竞争性磋商文件，并于</w:t>
            </w:r>
            <w:r>
              <w:rPr>
                <w:rFonts w:ascii="宋体" w:hAnsi="宋体"/>
                <w:b/>
                <w:bCs/>
                <w:color w:val="000000"/>
                <w:sz w:val="24"/>
                <w:highlight w:val="none"/>
                <w:u w:val="single"/>
              </w:rPr>
              <w:t>2021年</w:t>
            </w:r>
            <w:r>
              <w:rPr>
                <w:rFonts w:hint="eastAsia" w:ascii="宋体" w:hAnsi="宋体"/>
                <w:b/>
                <w:bCs/>
                <w:color w:val="000000"/>
                <w:sz w:val="24"/>
                <w:highlight w:val="none"/>
                <w:u w:val="single"/>
                <w:lang w:val="en-US" w:eastAsia="zh-CN"/>
              </w:rPr>
              <w:t>8</w:t>
            </w:r>
            <w:r>
              <w:rPr>
                <w:rFonts w:ascii="宋体" w:hAnsi="宋体"/>
                <w:b/>
                <w:bCs/>
                <w:color w:val="000000"/>
                <w:sz w:val="24"/>
                <w:highlight w:val="none"/>
                <w:u w:val="single"/>
              </w:rPr>
              <w:t>月</w:t>
            </w:r>
            <w:r>
              <w:rPr>
                <w:rFonts w:hint="eastAsia" w:ascii="宋体" w:hAnsi="宋体"/>
                <w:b/>
                <w:bCs/>
                <w:color w:val="000000"/>
                <w:sz w:val="24"/>
                <w:highlight w:val="none"/>
                <w:u w:val="single"/>
                <w:lang w:val="en-US" w:eastAsia="zh-CN"/>
              </w:rPr>
              <w:t>31</w:t>
            </w:r>
            <w:r>
              <w:rPr>
                <w:rFonts w:ascii="宋体" w:hAnsi="宋体"/>
                <w:b/>
                <w:bCs/>
                <w:color w:val="000000"/>
                <w:sz w:val="24"/>
                <w:highlight w:val="none"/>
                <w:u w:val="single"/>
              </w:rPr>
              <w:t>日</w:t>
            </w:r>
            <w:r>
              <w:rPr>
                <w:rFonts w:hint="eastAsia" w:ascii="宋体" w:hAnsi="宋体"/>
                <w:b/>
                <w:bCs/>
                <w:color w:val="000000"/>
                <w:sz w:val="24"/>
                <w:highlight w:val="none"/>
                <w:u w:val="single"/>
                <w:lang w:eastAsia="zh-CN"/>
              </w:rPr>
              <w:t>上</w:t>
            </w:r>
            <w:r>
              <w:rPr>
                <w:rFonts w:ascii="宋体" w:hAnsi="宋体"/>
                <w:b/>
                <w:bCs/>
                <w:color w:val="000000"/>
                <w:sz w:val="24"/>
                <w:highlight w:val="none"/>
                <w:u w:val="single"/>
              </w:rPr>
              <w:t>午</w:t>
            </w:r>
            <w:r>
              <w:rPr>
                <w:rFonts w:hint="eastAsia" w:ascii="宋体" w:hAnsi="宋体"/>
                <w:b/>
                <w:bCs/>
                <w:color w:val="000000"/>
                <w:sz w:val="24"/>
                <w:highlight w:val="none"/>
                <w:u w:val="single"/>
                <w:lang w:val="en-US" w:eastAsia="zh-CN"/>
              </w:rPr>
              <w:t>09</w:t>
            </w:r>
            <w:r>
              <w:rPr>
                <w:rFonts w:ascii="宋体" w:hAnsi="宋体"/>
                <w:b/>
                <w:bCs/>
                <w:color w:val="000000"/>
                <w:sz w:val="24"/>
                <w:highlight w:val="none"/>
                <w:u w:val="single"/>
              </w:rPr>
              <w:t>点</w:t>
            </w:r>
            <w:r>
              <w:rPr>
                <w:rFonts w:hint="eastAsia" w:ascii="宋体" w:hAnsi="宋体"/>
                <w:b/>
                <w:bCs/>
                <w:color w:val="000000"/>
                <w:sz w:val="24"/>
                <w:highlight w:val="none"/>
                <w:u w:val="single"/>
                <w:lang w:val="en-US" w:eastAsia="zh-CN"/>
              </w:rPr>
              <w:t>00</w:t>
            </w:r>
            <w:r>
              <w:rPr>
                <w:rFonts w:ascii="宋体" w:hAnsi="宋体"/>
                <w:b/>
                <w:bCs/>
                <w:color w:val="000000"/>
                <w:sz w:val="24"/>
                <w:highlight w:val="none"/>
                <w:u w:val="single"/>
              </w:rPr>
              <w:t>分</w:t>
            </w:r>
            <w:r>
              <w:rPr>
                <w:rFonts w:hint="eastAsia" w:ascii="宋体" w:hAnsi="宋体"/>
                <w:sz w:val="24"/>
                <w:szCs w:val="24"/>
                <w:highlight w:val="none"/>
              </w:rPr>
              <w:t>（北京时间）前提交响应文件。</w:t>
            </w:r>
          </w:p>
        </w:tc>
      </w:tr>
    </w:tbl>
    <w:p>
      <w:pPr>
        <w:rPr>
          <w:highlight w:val="none"/>
        </w:rPr>
      </w:pP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一、项目基本情况</w:t>
      </w:r>
    </w:p>
    <w:p>
      <w:pPr>
        <w:spacing w:line="360" w:lineRule="auto"/>
        <w:ind w:firstLine="480" w:firstLineChars="200"/>
        <w:rPr>
          <w:rFonts w:hint="eastAsia" w:ascii="宋体" w:hAnsi="宋体" w:eastAsiaTheme="minorEastAsia"/>
          <w:sz w:val="24"/>
          <w:szCs w:val="24"/>
          <w:highlight w:val="none"/>
          <w:lang w:eastAsia="zh-CN"/>
        </w:rPr>
      </w:pPr>
      <w:r>
        <w:rPr>
          <w:rFonts w:hint="eastAsia" w:ascii="宋体" w:hAnsi="宋体"/>
          <w:sz w:val="24"/>
          <w:szCs w:val="24"/>
          <w:highlight w:val="none"/>
        </w:rPr>
        <w:t>1、项目编号：</w:t>
      </w:r>
      <w:r>
        <w:rPr>
          <w:rFonts w:hint="eastAsia" w:ascii="宋体" w:hAnsi="宋体"/>
          <w:sz w:val="24"/>
          <w:szCs w:val="24"/>
          <w:highlight w:val="none"/>
          <w:lang w:eastAsia="zh-CN"/>
        </w:rPr>
        <w:t>HK2021-076-Z</w:t>
      </w:r>
    </w:p>
    <w:p>
      <w:pPr>
        <w:spacing w:line="360" w:lineRule="auto"/>
        <w:ind w:firstLine="480" w:firstLineChars="200"/>
        <w:rPr>
          <w:rFonts w:hint="eastAsia" w:ascii="宋体" w:hAnsi="宋体" w:eastAsiaTheme="minorEastAsia"/>
          <w:sz w:val="24"/>
          <w:szCs w:val="24"/>
          <w:highlight w:val="none"/>
          <w:lang w:val="en-US" w:eastAsia="zh-CN"/>
        </w:rPr>
      </w:pPr>
      <w:r>
        <w:rPr>
          <w:rFonts w:hint="eastAsia" w:ascii="宋体" w:hAnsi="宋体"/>
          <w:sz w:val="24"/>
          <w:szCs w:val="24"/>
          <w:highlight w:val="none"/>
        </w:rPr>
        <w:t>2、采购计划备案号：鄂采计[2021]-11106</w:t>
      </w:r>
      <w:r>
        <w:rPr>
          <w:rFonts w:hint="eastAsia" w:ascii="宋体" w:hAnsi="宋体"/>
          <w:sz w:val="24"/>
          <w:szCs w:val="24"/>
          <w:highlight w:val="none"/>
          <w:lang w:eastAsia="zh-CN"/>
        </w:rPr>
        <w:t>号</w:t>
      </w:r>
    </w:p>
    <w:p>
      <w:pPr>
        <w:spacing w:line="360" w:lineRule="auto"/>
        <w:ind w:firstLine="480" w:firstLineChars="200"/>
        <w:rPr>
          <w:rFonts w:hint="eastAsia" w:ascii="宋体" w:hAnsi="宋体" w:eastAsiaTheme="minorEastAsia"/>
          <w:sz w:val="24"/>
          <w:szCs w:val="24"/>
          <w:highlight w:val="none"/>
          <w:lang w:eastAsia="zh-CN"/>
        </w:rPr>
      </w:pPr>
      <w:r>
        <w:rPr>
          <w:rFonts w:hint="eastAsia" w:ascii="宋体" w:hAnsi="宋体"/>
          <w:sz w:val="24"/>
          <w:szCs w:val="24"/>
          <w:highlight w:val="none"/>
        </w:rPr>
        <w:t>3、项目名称：</w:t>
      </w:r>
      <w:r>
        <w:rPr>
          <w:rFonts w:hint="eastAsia" w:ascii="宋体" w:hAnsi="宋体"/>
          <w:sz w:val="24"/>
          <w:szCs w:val="24"/>
          <w:highlight w:val="none"/>
          <w:lang w:eastAsia="zh-CN"/>
        </w:rPr>
        <w:t>湖北科技学院药学院2021年医药工程学科群设备采购项目</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4、</w:t>
      </w:r>
      <w:bookmarkStart w:id="9" w:name="_Hlk57317431"/>
      <w:r>
        <w:rPr>
          <w:rFonts w:hint="eastAsia" w:ascii="宋体" w:hAnsi="宋体"/>
          <w:sz w:val="24"/>
          <w:szCs w:val="24"/>
          <w:highlight w:val="none"/>
        </w:rPr>
        <w:t>采购方式：竞争性磋商</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5、预算金额：</w:t>
      </w:r>
      <w:bookmarkStart w:id="10" w:name="_Hlk57306503"/>
      <w:r>
        <w:rPr>
          <w:rFonts w:hint="eastAsia" w:ascii="宋体" w:hAnsi="宋体"/>
          <w:sz w:val="24"/>
          <w:szCs w:val="24"/>
          <w:highlight w:val="none"/>
          <w:lang w:val="en-US" w:eastAsia="zh-CN"/>
        </w:rPr>
        <w:t>53</w:t>
      </w:r>
      <w:r>
        <w:rPr>
          <w:rFonts w:hint="eastAsia" w:ascii="宋体" w:hAnsi="宋体"/>
          <w:sz w:val="24"/>
          <w:szCs w:val="24"/>
          <w:highlight w:val="none"/>
        </w:rPr>
        <w:t>（万元）</w:t>
      </w:r>
      <w:bookmarkEnd w:id="10"/>
    </w:p>
    <w:bookmarkEnd w:id="9"/>
    <w:p>
      <w:pPr>
        <w:spacing w:line="360" w:lineRule="auto"/>
        <w:ind w:firstLine="480" w:firstLineChars="200"/>
        <w:rPr>
          <w:rFonts w:ascii="宋体" w:hAnsi="宋体"/>
          <w:sz w:val="24"/>
          <w:szCs w:val="24"/>
          <w:highlight w:val="none"/>
        </w:rPr>
      </w:pPr>
      <w:r>
        <w:rPr>
          <w:rFonts w:hint="eastAsia" w:ascii="宋体" w:hAnsi="宋体"/>
          <w:sz w:val="24"/>
          <w:szCs w:val="24"/>
          <w:highlight w:val="none"/>
        </w:rPr>
        <w:t>6、最高限价：</w:t>
      </w:r>
      <w:r>
        <w:rPr>
          <w:rFonts w:hint="eastAsia" w:ascii="宋体" w:hAnsi="宋体"/>
          <w:sz w:val="24"/>
          <w:szCs w:val="24"/>
          <w:highlight w:val="none"/>
          <w:lang w:val="en-US" w:eastAsia="zh-CN"/>
        </w:rPr>
        <w:t>53</w:t>
      </w:r>
      <w:r>
        <w:rPr>
          <w:rFonts w:hint="eastAsia" w:ascii="宋体" w:hAnsi="宋体"/>
          <w:sz w:val="24"/>
          <w:szCs w:val="24"/>
          <w:highlight w:val="none"/>
        </w:rPr>
        <w:t>（万元）</w:t>
      </w:r>
    </w:p>
    <w:p>
      <w:pPr>
        <w:spacing w:line="360" w:lineRule="auto"/>
        <w:ind w:firstLine="480" w:firstLineChars="200"/>
        <w:rPr>
          <w:rFonts w:ascii="宋体" w:hAnsi="宋体"/>
          <w:sz w:val="24"/>
          <w:szCs w:val="24"/>
          <w:highlight w:val="none"/>
          <w:u w:val="single"/>
        </w:rPr>
      </w:pPr>
      <w:r>
        <w:rPr>
          <w:rFonts w:hint="eastAsia" w:ascii="宋体" w:hAnsi="宋体"/>
          <w:sz w:val="24"/>
          <w:szCs w:val="24"/>
          <w:highlight w:val="none"/>
        </w:rPr>
        <w:t>7、采购需求</w:t>
      </w:r>
      <w:r>
        <w:rPr>
          <w:rFonts w:hint="eastAsia" w:ascii="宋体" w:hAnsi="宋体"/>
          <w:sz w:val="24"/>
          <w:szCs w:val="24"/>
          <w:highlight w:val="none"/>
          <w:lang w:eastAsia="zh-CN"/>
        </w:rPr>
        <w:t>：本次项目共分2个项目包。其中包一采购预算</w:t>
      </w:r>
      <w:r>
        <w:rPr>
          <w:rFonts w:hint="eastAsia" w:ascii="宋体" w:hAnsi="宋体"/>
          <w:sz w:val="24"/>
          <w:szCs w:val="24"/>
          <w:highlight w:val="none"/>
          <w:lang w:val="en-US" w:eastAsia="zh-CN"/>
        </w:rPr>
        <w:t>29.3</w:t>
      </w:r>
      <w:r>
        <w:rPr>
          <w:rFonts w:hint="eastAsia" w:ascii="宋体" w:hAnsi="宋体"/>
          <w:sz w:val="24"/>
          <w:szCs w:val="24"/>
          <w:highlight w:val="none"/>
          <w:lang w:eastAsia="zh-CN"/>
        </w:rPr>
        <w:t>万元，包二采购预算</w:t>
      </w:r>
      <w:r>
        <w:rPr>
          <w:rFonts w:hint="eastAsia" w:ascii="宋体" w:hAnsi="宋体"/>
          <w:sz w:val="24"/>
          <w:szCs w:val="24"/>
          <w:highlight w:val="none"/>
          <w:lang w:val="en-US" w:eastAsia="zh-CN"/>
        </w:rPr>
        <w:t>23.7</w:t>
      </w:r>
      <w:r>
        <w:rPr>
          <w:rFonts w:hint="eastAsia" w:ascii="宋体" w:hAnsi="宋体"/>
          <w:sz w:val="24"/>
          <w:szCs w:val="24"/>
          <w:highlight w:val="none"/>
          <w:lang w:eastAsia="zh-CN"/>
        </w:rPr>
        <w:t>万元；</w:t>
      </w:r>
      <w:r>
        <w:rPr>
          <w:rFonts w:hint="eastAsia" w:ascii="宋体" w:hAnsi="宋体"/>
          <w:sz w:val="24"/>
          <w:szCs w:val="24"/>
          <w:highlight w:val="none"/>
          <w:lang w:val="en-US" w:eastAsia="zh-CN"/>
        </w:rPr>
        <w:t>具体采购需求详见附件</w:t>
      </w:r>
      <w:r>
        <w:rPr>
          <w:rFonts w:hint="eastAsia" w:ascii="宋体" w:hAnsi="宋体"/>
          <w:sz w:val="24"/>
          <w:szCs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8、合同履行期限：</w:t>
      </w:r>
      <w:r>
        <w:rPr>
          <w:rFonts w:hint="eastAsia" w:ascii="宋体" w:hAnsi="宋体"/>
          <w:sz w:val="24"/>
          <w:szCs w:val="24"/>
          <w:highlight w:val="none"/>
          <w:lang w:val="en-US" w:eastAsia="zh-CN"/>
        </w:rPr>
        <w:t>合同签订后30日内供货</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9、本项目（是/否）接受联合体：否</w:t>
      </w:r>
    </w:p>
    <w:p>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10、是否可采购进口产品：否</w:t>
      </w:r>
    </w:p>
    <w:p>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11、本项目（是/否）专门面向中小微企业：否</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二、申请人的资格要求</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1、满足《中华人民共和国政府采购法》第二十二条规定，即：</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（1）具有独立承担民事责任的能力；</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（2）具有良好的商业信誉和健全的财务会计制度；</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（3）具有履行合同所必需的设备和专业技术能力；</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（4）有依法缴纳税收和社会保障资金的良好记录；</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（5）参加政府采购活动前三年内，在经营活动中没有重大违法记录；</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（6）法律、行政法规规定的其他条件。</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2、单位负责人为同一人或者存在直接控股、管理关系的不同供应商，不得参加本项目同一合同项下的政府采购活动。</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3、为本采购项目提供整体设计、规范编制或者项目管理、监理、检测等服务的，不得再参加本项目的其他招标采购活动。</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4、未被列入失信被执行人、重大税收违法案件当事人名单，未被列入政府采购严重违法失信行为记录名单。</w:t>
      </w:r>
    </w:p>
    <w:p>
      <w:pPr>
        <w:spacing w:line="360" w:lineRule="auto"/>
        <w:ind w:firstLine="480" w:firstLineChars="200"/>
        <w:rPr>
          <w:rFonts w:hint="eastAsia" w:ascii="宋体" w:hAnsi="宋体" w:eastAsiaTheme="minorEastAsia"/>
          <w:sz w:val="24"/>
          <w:szCs w:val="24"/>
          <w:highlight w:val="none"/>
          <w:lang w:eastAsia="zh-CN"/>
        </w:rPr>
      </w:pPr>
      <w:r>
        <w:rPr>
          <w:rFonts w:hint="eastAsia" w:ascii="宋体" w:hAnsi="宋体"/>
          <w:sz w:val="24"/>
          <w:szCs w:val="24"/>
          <w:highlight w:val="none"/>
        </w:rPr>
        <w:t>5、落实政府采购政策需满足的资格要求：</w:t>
      </w:r>
      <w:r>
        <w:rPr>
          <w:rFonts w:hint="eastAsia" w:ascii="宋体" w:hAnsi="宋体"/>
          <w:sz w:val="24"/>
          <w:szCs w:val="24"/>
          <w:highlight w:val="none"/>
          <w:lang w:eastAsia="zh-CN"/>
        </w:rPr>
        <w:t>无</w:t>
      </w:r>
    </w:p>
    <w:p>
      <w:pPr>
        <w:adjustRightInd w:val="0"/>
        <w:snapToGrid w:val="0"/>
        <w:spacing w:line="360" w:lineRule="auto"/>
        <w:ind w:firstLine="480" w:firstLineChars="200"/>
        <w:rPr>
          <w:rFonts w:hint="eastAsia" w:ascii="宋体" w:hAnsi="宋体" w:eastAsiaTheme="minorEastAsia"/>
          <w:color w:val="000000"/>
          <w:kern w:val="0"/>
          <w:sz w:val="24"/>
          <w:szCs w:val="24"/>
          <w:highlight w:val="none"/>
          <w:lang w:val="en-US" w:eastAsia="zh-CN"/>
        </w:rPr>
      </w:pPr>
      <w:r>
        <w:rPr>
          <w:rFonts w:hint="eastAsia" w:ascii="宋体" w:hAnsi="宋体"/>
          <w:sz w:val="24"/>
          <w:szCs w:val="24"/>
          <w:highlight w:val="none"/>
        </w:rPr>
        <w:t>6、本项目的特定资格要求：</w:t>
      </w:r>
      <w:r>
        <w:rPr>
          <w:rFonts w:hint="eastAsia" w:ascii="宋体" w:hAnsi="宋体"/>
          <w:sz w:val="24"/>
          <w:szCs w:val="24"/>
          <w:highlight w:val="none"/>
          <w:lang w:eastAsia="zh-CN"/>
        </w:rPr>
        <w:t>无</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三、获取竞争性磋商文件</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1、时间：2021年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20</w:t>
      </w:r>
      <w:r>
        <w:rPr>
          <w:rFonts w:hint="eastAsia" w:ascii="宋体" w:hAnsi="宋体"/>
          <w:sz w:val="24"/>
          <w:szCs w:val="24"/>
          <w:highlight w:val="none"/>
        </w:rPr>
        <w:t>日至202</w:t>
      </w:r>
      <w:r>
        <w:rPr>
          <w:rFonts w:ascii="宋体" w:hAnsi="宋体"/>
          <w:sz w:val="24"/>
          <w:szCs w:val="24"/>
          <w:highlight w:val="none"/>
        </w:rPr>
        <w:t>1</w:t>
      </w:r>
      <w:r>
        <w:rPr>
          <w:rFonts w:hint="eastAsia" w:ascii="宋体" w:hAnsi="宋体"/>
          <w:sz w:val="24"/>
          <w:szCs w:val="24"/>
          <w:highlight w:val="none"/>
        </w:rPr>
        <w:t>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26</w:t>
      </w:r>
      <w:r>
        <w:rPr>
          <w:rFonts w:hint="eastAsia" w:ascii="宋体" w:hAnsi="宋体"/>
          <w:sz w:val="24"/>
          <w:szCs w:val="24"/>
          <w:highlight w:val="none"/>
        </w:rPr>
        <w:t>日，每天上午0</w:t>
      </w:r>
      <w:r>
        <w:rPr>
          <w:rFonts w:ascii="宋体" w:hAnsi="宋体"/>
          <w:sz w:val="24"/>
          <w:szCs w:val="24"/>
          <w:highlight w:val="none"/>
        </w:rPr>
        <w:t>8</w:t>
      </w:r>
      <w:r>
        <w:rPr>
          <w:rFonts w:hint="eastAsia" w:ascii="宋体" w:hAnsi="宋体"/>
          <w:sz w:val="24"/>
          <w:szCs w:val="24"/>
          <w:highlight w:val="none"/>
        </w:rPr>
        <w:t>:</w:t>
      </w:r>
      <w:r>
        <w:rPr>
          <w:rFonts w:hint="eastAsia" w:ascii="宋体" w:hAnsi="宋体"/>
          <w:sz w:val="24"/>
          <w:szCs w:val="24"/>
          <w:highlight w:val="none"/>
          <w:lang w:val="en-US" w:eastAsia="zh-CN"/>
        </w:rPr>
        <w:t>3</w:t>
      </w:r>
      <w:r>
        <w:rPr>
          <w:rFonts w:hint="eastAsia" w:ascii="宋体" w:hAnsi="宋体"/>
          <w:sz w:val="24"/>
          <w:szCs w:val="24"/>
          <w:highlight w:val="none"/>
        </w:rPr>
        <w:t>0至12:00，下午1</w:t>
      </w:r>
      <w:r>
        <w:rPr>
          <w:rFonts w:ascii="宋体" w:hAnsi="宋体"/>
          <w:sz w:val="24"/>
          <w:szCs w:val="24"/>
          <w:highlight w:val="none"/>
        </w:rPr>
        <w:t>4</w:t>
      </w:r>
      <w:r>
        <w:rPr>
          <w:rFonts w:hint="eastAsia" w:ascii="宋体" w:hAnsi="宋体"/>
          <w:sz w:val="24"/>
          <w:szCs w:val="24"/>
          <w:highlight w:val="none"/>
        </w:rPr>
        <w:t>:</w:t>
      </w:r>
      <w:r>
        <w:rPr>
          <w:rFonts w:ascii="宋体" w:hAnsi="宋体"/>
          <w:sz w:val="24"/>
          <w:szCs w:val="24"/>
          <w:highlight w:val="none"/>
        </w:rPr>
        <w:t>30</w:t>
      </w:r>
      <w:r>
        <w:rPr>
          <w:rFonts w:hint="eastAsia" w:ascii="宋体" w:hAnsi="宋体"/>
          <w:sz w:val="24"/>
          <w:szCs w:val="24"/>
          <w:highlight w:val="none"/>
        </w:rPr>
        <w:t>至</w:t>
      </w:r>
      <w:r>
        <w:rPr>
          <w:rFonts w:ascii="宋体" w:hAnsi="宋体"/>
          <w:sz w:val="24"/>
          <w:szCs w:val="24"/>
          <w:highlight w:val="none"/>
        </w:rPr>
        <w:t>17</w:t>
      </w:r>
      <w:r>
        <w:rPr>
          <w:rFonts w:hint="eastAsia" w:ascii="宋体" w:hAnsi="宋体"/>
          <w:sz w:val="24"/>
          <w:szCs w:val="24"/>
          <w:highlight w:val="none"/>
        </w:rPr>
        <w:t>:</w:t>
      </w:r>
      <w:r>
        <w:rPr>
          <w:rFonts w:hint="eastAsia" w:ascii="宋体" w:hAnsi="宋体"/>
          <w:sz w:val="24"/>
          <w:szCs w:val="24"/>
          <w:highlight w:val="none"/>
          <w:lang w:val="en-US" w:eastAsia="zh-CN"/>
        </w:rPr>
        <w:t>0</w:t>
      </w:r>
      <w:r>
        <w:rPr>
          <w:rFonts w:hint="eastAsia" w:ascii="宋体" w:hAnsi="宋体"/>
          <w:sz w:val="24"/>
          <w:szCs w:val="24"/>
          <w:highlight w:val="none"/>
        </w:rPr>
        <w:t>0（北京时间，法定节假日除外）</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2、地点：咸宁市咸宁大道39号国际大厦B座100</w:t>
      </w:r>
      <w:r>
        <w:rPr>
          <w:rFonts w:hint="eastAsia" w:ascii="宋体" w:hAnsi="宋体"/>
          <w:sz w:val="24"/>
          <w:szCs w:val="24"/>
          <w:highlight w:val="none"/>
          <w:lang w:val="en-US" w:eastAsia="zh-CN"/>
        </w:rPr>
        <w:t>3</w:t>
      </w:r>
      <w:r>
        <w:rPr>
          <w:rFonts w:hint="eastAsia" w:ascii="宋体" w:hAnsi="宋体"/>
          <w:sz w:val="24"/>
          <w:szCs w:val="24"/>
          <w:highlight w:val="none"/>
        </w:rPr>
        <w:t>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3、方式：</w:t>
      </w:r>
      <w:bookmarkStart w:id="11" w:name="_Hlk6461570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highlight w:val="none"/>
        </w:rPr>
      </w:pPr>
      <w:r>
        <w:rPr>
          <w:rFonts w:hint="eastAsia" w:ascii="宋体" w:hAnsi="宋体"/>
          <w:color w:val="000000" w:themeColor="text1"/>
          <w:sz w:val="24"/>
          <w:highlight w:val="none"/>
          <w:lang w:eastAsia="zh-CN"/>
          <w14:textFill>
            <w14:solidFill>
              <w14:schemeClr w14:val="tx1"/>
            </w14:solidFill>
          </w14:textFill>
        </w:rPr>
        <w:t>包一、包二现场购买。</w:t>
      </w:r>
      <w:r>
        <w:rPr>
          <w:rFonts w:hint="eastAsia" w:ascii="宋体" w:hAnsi="宋体"/>
          <w:sz w:val="24"/>
          <w:highlight w:val="none"/>
        </w:rPr>
        <w:t>获取</w:t>
      </w:r>
      <w:r>
        <w:rPr>
          <w:rFonts w:hint="eastAsia" w:ascii="宋体" w:hAnsi="宋体"/>
          <w:sz w:val="24"/>
          <w:highlight w:val="none"/>
          <w:lang w:val="en-US" w:eastAsia="zh-CN"/>
        </w:rPr>
        <w:t>磋商</w:t>
      </w:r>
      <w:r>
        <w:rPr>
          <w:rFonts w:hint="eastAsia" w:ascii="宋体" w:hAnsi="宋体"/>
          <w:sz w:val="24"/>
          <w:highlight w:val="none"/>
        </w:rPr>
        <w:t>文件时，</w:t>
      </w:r>
      <w:r>
        <w:rPr>
          <w:rFonts w:hint="eastAsia" w:ascii="宋体" w:hAnsi="宋体"/>
          <w:sz w:val="24"/>
          <w:highlight w:val="none"/>
          <w:lang w:val="en-US" w:eastAsia="zh-CN"/>
        </w:rPr>
        <w:t>供应商</w:t>
      </w:r>
      <w:r>
        <w:rPr>
          <w:rFonts w:hint="eastAsia" w:ascii="宋体" w:hAnsi="宋体"/>
          <w:sz w:val="24"/>
          <w:highlight w:val="none"/>
        </w:rPr>
        <w:t>代表须携带本人身份证原件以及下述资料加盖公章的复印件一套：</w:t>
      </w:r>
    </w:p>
    <w:bookmarkEnd w:id="11"/>
    <w:p>
      <w:pPr>
        <w:spacing w:line="360" w:lineRule="auto"/>
        <w:ind w:firstLine="480" w:firstLineChars="200"/>
        <w:rPr>
          <w:rFonts w:ascii="宋体" w:hAnsi="宋体" w:eastAsia="宋体" w:cs="宋体"/>
          <w:sz w:val="24"/>
        </w:rPr>
      </w:pPr>
      <w:r>
        <w:rPr>
          <w:rFonts w:hint="eastAsia" w:ascii="宋体" w:hAnsi="宋体" w:eastAsia="宋体" w:cs="宋体"/>
          <w:sz w:val="24"/>
        </w:rPr>
        <w:t>①法定代表人资格证明书；</w:t>
      </w:r>
    </w:p>
    <w:p>
      <w:pPr>
        <w:spacing w:line="360" w:lineRule="auto"/>
        <w:ind w:firstLine="480" w:firstLineChars="200"/>
        <w:rPr>
          <w:rFonts w:ascii="宋体" w:hAnsi="宋体" w:eastAsia="宋体" w:cs="宋体"/>
          <w:sz w:val="24"/>
        </w:rPr>
      </w:pPr>
      <w:r>
        <w:rPr>
          <w:rFonts w:hint="eastAsia" w:ascii="宋体" w:hAnsi="宋体" w:eastAsia="宋体" w:cs="宋体"/>
          <w:sz w:val="24"/>
        </w:rPr>
        <w:t>②法定代表人授权委托书（法定代表人只需携带法定代表人资格证明书）；</w:t>
      </w:r>
    </w:p>
    <w:p>
      <w:pPr>
        <w:spacing w:line="360" w:lineRule="auto"/>
        <w:ind w:firstLine="480" w:firstLineChars="200"/>
        <w:rPr>
          <w:rFonts w:ascii="宋体" w:hAnsi="宋体" w:eastAsia="宋体" w:cs="宋体"/>
          <w:sz w:val="24"/>
        </w:rPr>
      </w:pPr>
      <w:r>
        <w:rPr>
          <w:rFonts w:hint="eastAsia" w:ascii="宋体" w:hAnsi="宋体" w:eastAsia="宋体" w:cs="宋体"/>
          <w:sz w:val="24"/>
        </w:rPr>
        <w:t>③法人或者其他组织的营业执照等证明文件（如供应商为自然人，应提供有效的自然人身份证明）；</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eastAsia="宋体" w:cs="宋体"/>
          <w:sz w:val="24"/>
        </w:rPr>
        <w:fldChar w:fldCharType="begin"/>
      </w:r>
      <w:r>
        <w:rPr>
          <w:rFonts w:hint="eastAsia" w:ascii="宋体" w:hAnsi="宋体" w:eastAsia="宋体" w:cs="宋体"/>
          <w:sz w:val="24"/>
        </w:rPr>
        <w:instrText xml:space="preserve"> = 4 \* GB3 </w:instrText>
      </w:r>
      <w:r>
        <w:rPr>
          <w:rFonts w:hint="eastAsia" w:ascii="宋体" w:hAnsi="宋体" w:eastAsia="宋体" w:cs="宋体"/>
          <w:sz w:val="24"/>
        </w:rPr>
        <w:fldChar w:fldCharType="separate"/>
      </w:r>
      <w:r>
        <w:rPr>
          <w:rFonts w:hint="eastAsia" w:ascii="宋体" w:hAnsi="宋体" w:eastAsia="宋体" w:cs="宋体"/>
          <w:sz w:val="24"/>
        </w:rPr>
        <w:t>④</w:t>
      </w:r>
      <w:r>
        <w:rPr>
          <w:rFonts w:hint="eastAsia" w:ascii="宋体" w:hAnsi="宋体" w:eastAsia="宋体" w:cs="宋体"/>
          <w:sz w:val="24"/>
        </w:rPr>
        <w:fldChar w:fldCharType="end"/>
      </w:r>
      <w:r>
        <w:rPr>
          <w:rFonts w:hint="eastAsia" w:ascii="宋体" w:hAnsi="宋体" w:eastAsia="宋体" w:cs="宋体"/>
          <w:snapToGrid w:val="0"/>
          <w:sz w:val="24"/>
          <w:szCs w:val="24"/>
        </w:rPr>
        <w:t>未被列入“信用中国”网站(www.creditchina.gov.cn)失信被执行人、重大税收违法案件当事人和“中国政府采购”网站（www.ccgp.gov.cn）政府采购严重违法失信行为记录名单的网页截图</w:t>
      </w:r>
      <w:r>
        <w:rPr>
          <w:rFonts w:hint="eastAsia" w:ascii="宋体" w:hAnsi="宋体" w:eastAsia="宋体" w:cs="宋体"/>
          <w:sz w:val="24"/>
          <w:szCs w:val="24"/>
        </w:rPr>
        <w:t>。</w:t>
      </w:r>
    </w:p>
    <w:p>
      <w:pPr>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、售价：竞争性磋商文件售价人民币</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00元/</w:t>
      </w:r>
      <w:r>
        <w:rPr>
          <w:rFonts w:hint="eastAsia" w:ascii="宋体" w:hAnsi="宋体"/>
          <w:color w:val="000000" w:themeColor="text1"/>
          <w:sz w:val="24"/>
          <w:highlight w:val="none"/>
          <w:lang w:eastAsia="zh-CN"/>
          <w14:textFill>
            <w14:solidFill>
              <w14:schemeClr w14:val="tx1"/>
            </w14:solidFill>
          </w14:textFill>
        </w:rPr>
        <w:t>包</w:t>
      </w:r>
      <w:r>
        <w:rPr>
          <w:rFonts w:hint="eastAsia" w:ascii="宋体" w:hAnsi="宋体"/>
          <w:color w:val="000000" w:themeColor="text1"/>
          <w:sz w:val="24"/>
          <w:highlight w:val="none"/>
          <w14:textFill>
            <w14:solidFill>
              <w14:schemeClr w14:val="tx1"/>
            </w14:solidFill>
          </w14:textFill>
        </w:rPr>
        <w:t>，文件售后不退。（不办理邮寄</w:t>
      </w:r>
      <w:r>
        <w:rPr>
          <w:rFonts w:hint="eastAsia" w:ascii="宋体" w:hAnsi="宋体"/>
          <w:color w:val="000000" w:themeColor="text1"/>
          <w:sz w:val="24"/>
          <w:highlight w:val="none"/>
          <w:lang w:val="en-US" w:eastAsia="zh-CN"/>
          <w14:textFill>
            <w14:solidFill>
              <w14:schemeClr w14:val="tx1"/>
            </w14:solidFill>
          </w14:textFill>
        </w:rPr>
        <w:t>，报名费接受现金或公对公转账。</w:t>
      </w:r>
      <w:r>
        <w:rPr>
          <w:rFonts w:hint="eastAsia" w:ascii="宋体" w:hAnsi="宋体"/>
          <w:color w:val="000000" w:themeColor="text1"/>
          <w:sz w:val="24"/>
          <w:highlight w:val="none"/>
          <w14:textFill>
            <w14:solidFill>
              <w14:schemeClr w14:val="tx1"/>
            </w14:solidFill>
          </w14:textFill>
        </w:rPr>
        <w:t>）</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四、响应文件提交</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1、开始时间：</w:t>
      </w:r>
      <w:r>
        <w:rPr>
          <w:rFonts w:hint="eastAsia" w:ascii="宋体" w:hAnsi="宋体"/>
          <w:sz w:val="24"/>
          <w:szCs w:val="24"/>
          <w:highlight w:val="none"/>
        </w:rPr>
        <w:t>2021年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31</w:t>
      </w:r>
      <w:r>
        <w:rPr>
          <w:rFonts w:hint="eastAsia" w:ascii="宋体" w:hAnsi="宋体"/>
          <w:sz w:val="24"/>
          <w:szCs w:val="24"/>
          <w:highlight w:val="none"/>
        </w:rPr>
        <w:t>日</w:t>
      </w:r>
      <w:r>
        <w:rPr>
          <w:rFonts w:hint="eastAsia" w:ascii="宋体" w:hAnsi="宋体"/>
          <w:sz w:val="24"/>
          <w:szCs w:val="24"/>
          <w:highlight w:val="none"/>
          <w:lang w:val="en-US" w:eastAsia="zh-CN"/>
        </w:rPr>
        <w:t>08</w:t>
      </w:r>
      <w:r>
        <w:rPr>
          <w:rFonts w:hint="eastAsia" w:ascii="宋体" w:hAnsi="宋体"/>
          <w:sz w:val="24"/>
          <w:szCs w:val="24"/>
          <w:highlight w:val="none"/>
        </w:rPr>
        <w:t>点</w:t>
      </w:r>
      <w:r>
        <w:rPr>
          <w:rFonts w:hint="eastAsia" w:ascii="宋体" w:hAnsi="宋体"/>
          <w:sz w:val="24"/>
          <w:szCs w:val="24"/>
          <w:highlight w:val="none"/>
          <w:lang w:val="en-US" w:eastAsia="zh-CN"/>
        </w:rPr>
        <w:t>3</w:t>
      </w:r>
      <w:r>
        <w:rPr>
          <w:rFonts w:hint="eastAsia" w:ascii="宋体" w:hAnsi="宋体"/>
          <w:sz w:val="24"/>
          <w:szCs w:val="24"/>
          <w:highlight w:val="none"/>
        </w:rPr>
        <w:t>0分（北京时间）</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2、截止时间：</w:t>
      </w:r>
      <w:r>
        <w:rPr>
          <w:rFonts w:hint="eastAsia" w:ascii="宋体" w:hAnsi="宋体"/>
          <w:sz w:val="24"/>
          <w:szCs w:val="24"/>
          <w:highlight w:val="none"/>
        </w:rPr>
        <w:t>2021年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31</w:t>
      </w:r>
      <w:r>
        <w:rPr>
          <w:rFonts w:hint="eastAsia" w:ascii="宋体" w:hAnsi="宋体"/>
          <w:sz w:val="24"/>
          <w:szCs w:val="24"/>
          <w:highlight w:val="none"/>
        </w:rPr>
        <w:t>日</w:t>
      </w:r>
      <w:r>
        <w:rPr>
          <w:rFonts w:hint="eastAsia" w:ascii="宋体" w:hAnsi="宋体"/>
          <w:sz w:val="24"/>
          <w:szCs w:val="24"/>
          <w:highlight w:val="none"/>
          <w:lang w:val="en-US" w:eastAsia="zh-CN"/>
        </w:rPr>
        <w:t>09</w:t>
      </w:r>
      <w:r>
        <w:rPr>
          <w:rFonts w:hint="eastAsia" w:ascii="宋体" w:hAnsi="宋体"/>
          <w:sz w:val="24"/>
          <w:szCs w:val="24"/>
          <w:highlight w:val="none"/>
        </w:rPr>
        <w:t>点00分（北京时间）</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3、地点：咸宁市咸宁大道39号国际大厦B座100</w:t>
      </w:r>
      <w:r>
        <w:rPr>
          <w:rFonts w:hint="eastAsia" w:ascii="宋体" w:hAnsi="宋体"/>
          <w:color w:val="000000"/>
          <w:sz w:val="24"/>
          <w:szCs w:val="24"/>
          <w:highlight w:val="none"/>
          <w:lang w:val="en-US" w:eastAsia="zh-CN"/>
        </w:rPr>
        <w:t>4</w:t>
      </w:r>
      <w:r>
        <w:rPr>
          <w:rFonts w:hint="eastAsia" w:ascii="宋体" w:hAnsi="宋体"/>
          <w:color w:val="000000"/>
          <w:sz w:val="24"/>
          <w:szCs w:val="24"/>
          <w:highlight w:val="none"/>
        </w:rPr>
        <w:t>室</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五、开启</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1、时间：</w:t>
      </w:r>
      <w:r>
        <w:rPr>
          <w:rFonts w:hint="eastAsia" w:ascii="宋体" w:hAnsi="宋体"/>
          <w:sz w:val="24"/>
          <w:szCs w:val="24"/>
          <w:highlight w:val="none"/>
        </w:rPr>
        <w:t>2021年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31</w:t>
      </w:r>
      <w:r>
        <w:rPr>
          <w:rFonts w:hint="eastAsia" w:ascii="宋体" w:hAnsi="宋体"/>
          <w:sz w:val="24"/>
          <w:szCs w:val="24"/>
          <w:highlight w:val="none"/>
        </w:rPr>
        <w:t>日</w:t>
      </w:r>
      <w:r>
        <w:rPr>
          <w:rFonts w:hint="eastAsia" w:ascii="宋体" w:hAnsi="宋体"/>
          <w:sz w:val="24"/>
          <w:szCs w:val="24"/>
          <w:highlight w:val="none"/>
          <w:lang w:val="en-US" w:eastAsia="zh-CN"/>
        </w:rPr>
        <w:t>09</w:t>
      </w:r>
      <w:r>
        <w:rPr>
          <w:rFonts w:hint="eastAsia" w:ascii="宋体" w:hAnsi="宋体"/>
          <w:sz w:val="24"/>
          <w:szCs w:val="24"/>
          <w:highlight w:val="none"/>
        </w:rPr>
        <w:t>点00分（北京时间）</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2、地点：</w:t>
      </w:r>
      <w:r>
        <w:rPr>
          <w:rFonts w:hint="eastAsia" w:ascii="宋体" w:hAnsi="宋体"/>
          <w:sz w:val="24"/>
          <w:szCs w:val="24"/>
          <w:highlight w:val="none"/>
        </w:rPr>
        <w:t>咸宁市咸宁大道39号国际大厦B座100</w:t>
      </w:r>
      <w:r>
        <w:rPr>
          <w:rFonts w:hint="eastAsia" w:ascii="宋体" w:hAnsi="宋体"/>
          <w:sz w:val="24"/>
          <w:szCs w:val="24"/>
          <w:highlight w:val="none"/>
          <w:lang w:val="en-US" w:eastAsia="zh-CN"/>
        </w:rPr>
        <w:t>3</w:t>
      </w:r>
      <w:r>
        <w:rPr>
          <w:rFonts w:hint="eastAsia" w:ascii="宋体" w:hAnsi="宋体"/>
          <w:sz w:val="24"/>
          <w:szCs w:val="24"/>
          <w:highlight w:val="none"/>
        </w:rPr>
        <w:t>室</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六、公告期限</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自本公告发布之日起</w:t>
      </w:r>
      <w:r>
        <w:rPr>
          <w:rFonts w:ascii="宋体" w:hAnsi="宋体"/>
          <w:sz w:val="24"/>
          <w:szCs w:val="24"/>
          <w:highlight w:val="none"/>
        </w:rPr>
        <w:t>5</w:t>
      </w:r>
      <w:r>
        <w:rPr>
          <w:rFonts w:hint="eastAsia" w:ascii="宋体" w:hAnsi="宋体"/>
          <w:sz w:val="24"/>
          <w:szCs w:val="24"/>
          <w:highlight w:val="none"/>
        </w:rPr>
        <w:t>个工作日。</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七、其他补充事宜</w:t>
      </w:r>
    </w:p>
    <w:p>
      <w:pPr>
        <w:spacing w:line="360" w:lineRule="auto"/>
        <w:ind w:firstLine="480" w:firstLineChars="200"/>
        <w:rPr>
          <w:rFonts w:hint="eastAsia"/>
          <w:highlight w:val="none"/>
          <w:lang w:eastAsia="zh-CN"/>
        </w:rPr>
      </w:pPr>
      <w:r>
        <w:rPr>
          <w:rFonts w:hint="eastAsia" w:ascii="宋体" w:hAnsi="宋体"/>
          <w:sz w:val="24"/>
          <w:szCs w:val="24"/>
          <w:highlight w:val="none"/>
          <w:lang w:val="en-US" w:eastAsia="zh-CN"/>
        </w:rPr>
        <w:t>1.</w:t>
      </w:r>
      <w:r>
        <w:rPr>
          <w:rFonts w:hint="eastAsia" w:ascii="宋体" w:hAnsi="宋体"/>
          <w:sz w:val="24"/>
          <w:szCs w:val="24"/>
          <w:highlight w:val="none"/>
        </w:rPr>
        <w:t>公告媒体：湖北省政府采购网（</w:t>
      </w:r>
      <w:r>
        <w:rPr>
          <w:rFonts w:ascii="宋体" w:hAnsi="宋体"/>
          <w:sz w:val="24"/>
          <w:szCs w:val="24"/>
          <w:highlight w:val="none"/>
        </w:rPr>
        <w:t>http://www.ccgp-hubei.gov.cn/</w:t>
      </w:r>
      <w:r>
        <w:rPr>
          <w:rFonts w:hint="eastAsia" w:ascii="宋体" w:hAnsi="宋体"/>
          <w:sz w:val="24"/>
          <w:szCs w:val="24"/>
          <w:highlight w:val="none"/>
        </w:rPr>
        <w:t>）、</w:t>
      </w:r>
      <w:bookmarkStart w:id="12" w:name="OLE_LINK3"/>
      <w:r>
        <w:rPr>
          <w:rFonts w:hint="eastAsia" w:ascii="宋体" w:hAnsi="宋体"/>
          <w:sz w:val="24"/>
          <w:szCs w:val="24"/>
          <w:highlight w:val="none"/>
        </w:rPr>
        <w:t>湖北科技学院采购网（</w:t>
      </w:r>
      <w:r>
        <w:rPr>
          <w:rFonts w:ascii="宋体" w:hAnsi="宋体"/>
          <w:sz w:val="24"/>
          <w:szCs w:val="24"/>
          <w:highlight w:val="none"/>
        </w:rPr>
        <w:t>http://cgztb.hbust.edu.cn/</w:t>
      </w:r>
      <w:r>
        <w:rPr>
          <w:rFonts w:hint="eastAsia" w:ascii="宋体" w:hAnsi="宋体"/>
          <w:sz w:val="24"/>
          <w:szCs w:val="24"/>
          <w:highlight w:val="none"/>
        </w:rPr>
        <w:t>）</w:t>
      </w:r>
      <w:bookmarkEnd w:id="12"/>
      <w:r>
        <w:rPr>
          <w:rFonts w:hint="eastAsia" w:ascii="宋体" w:hAnsi="宋体"/>
          <w:sz w:val="24"/>
          <w:szCs w:val="24"/>
          <w:highlight w:val="none"/>
          <w:lang w:eastAsia="zh-CN"/>
        </w:rPr>
        <w:t>、</w:t>
      </w:r>
      <w:r>
        <w:rPr>
          <w:rFonts w:hint="eastAsia" w:ascii="宋体" w:hAnsi="宋体"/>
          <w:sz w:val="24"/>
          <w:szCs w:val="24"/>
          <w:highlight w:val="none"/>
        </w:rPr>
        <w:t>武汉富纳工程咨询有限公司网（http://www.whfnzx.com）</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八、凡对本次采购提出询问，请按</w:t>
      </w:r>
      <w:r>
        <w:rPr>
          <w:rFonts w:ascii="宋体" w:hAnsi="宋体"/>
          <w:b/>
          <w:bCs/>
          <w:sz w:val="24"/>
          <w:szCs w:val="24"/>
          <w:highlight w:val="none"/>
        </w:rPr>
        <w:t>以下方式</w:t>
      </w:r>
      <w:r>
        <w:rPr>
          <w:rFonts w:hint="eastAsia" w:ascii="宋体" w:hAnsi="宋体"/>
          <w:b/>
          <w:bCs/>
          <w:sz w:val="24"/>
          <w:szCs w:val="24"/>
          <w:highlight w:val="none"/>
        </w:rPr>
        <w:t>联系</w:t>
      </w:r>
    </w:p>
    <w:p>
      <w:pPr>
        <w:spacing w:line="360" w:lineRule="auto"/>
        <w:ind w:firstLine="480" w:firstLineChars="200"/>
        <w:rPr>
          <w:rFonts w:ascii="宋体" w:hAnsi="宋体" w:cs="Times New Roman"/>
          <w:sz w:val="24"/>
          <w:szCs w:val="24"/>
          <w:highlight w:val="none"/>
        </w:rPr>
      </w:pPr>
      <w:bookmarkStart w:id="13" w:name="_Toc35393806"/>
      <w:bookmarkStart w:id="14" w:name="_Toc28359019"/>
      <w:bookmarkStart w:id="15" w:name="_Toc28359096"/>
      <w:bookmarkStart w:id="16" w:name="_Toc35393637"/>
      <w:r>
        <w:rPr>
          <w:rFonts w:hint="eastAsia" w:ascii="宋体" w:hAnsi="宋体" w:cs="Times New Roman"/>
          <w:sz w:val="24"/>
          <w:szCs w:val="24"/>
          <w:highlight w:val="none"/>
        </w:rPr>
        <w:t>1、采购人信息</w:t>
      </w:r>
      <w:bookmarkEnd w:id="13"/>
      <w:bookmarkEnd w:id="14"/>
      <w:bookmarkEnd w:id="15"/>
      <w:bookmarkEnd w:id="16"/>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名　　称：</w:t>
      </w:r>
      <w:r>
        <w:rPr>
          <w:rFonts w:hint="eastAsia" w:ascii="宋体" w:hAnsi="宋体"/>
          <w:sz w:val="24"/>
          <w:szCs w:val="24"/>
          <w:highlight w:val="none"/>
          <w:u w:val="single"/>
        </w:rPr>
        <w:t>湖北科技学院</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地　　址：</w:t>
      </w:r>
      <w:r>
        <w:rPr>
          <w:rFonts w:hint="eastAsia" w:ascii="宋体" w:hAnsi="宋体"/>
          <w:sz w:val="24"/>
          <w:szCs w:val="24"/>
          <w:highlight w:val="none"/>
          <w:u w:val="single"/>
        </w:rPr>
        <w:t>湖北省咸宁市咸宁大道88号</w:t>
      </w:r>
    </w:p>
    <w:p>
      <w:pPr>
        <w:spacing w:line="360" w:lineRule="auto"/>
        <w:ind w:firstLine="480" w:firstLineChars="200"/>
        <w:rPr>
          <w:rFonts w:ascii="宋体" w:hAnsi="宋体"/>
          <w:sz w:val="24"/>
          <w:szCs w:val="24"/>
          <w:highlight w:val="none"/>
          <w:u w:val="single"/>
        </w:rPr>
      </w:pPr>
      <w:r>
        <w:rPr>
          <w:rFonts w:hint="eastAsia" w:ascii="宋体" w:hAnsi="宋体"/>
          <w:sz w:val="24"/>
          <w:szCs w:val="24"/>
          <w:highlight w:val="none"/>
        </w:rPr>
        <w:t>联系方式：</w:t>
      </w:r>
      <w:r>
        <w:rPr>
          <w:rFonts w:hint="eastAsia" w:ascii="宋体" w:hAnsi="宋体"/>
          <w:sz w:val="24"/>
          <w:szCs w:val="24"/>
          <w:highlight w:val="none"/>
          <w:lang w:eastAsia="zh-CN"/>
        </w:rPr>
        <w:t>何</w:t>
      </w:r>
      <w:r>
        <w:rPr>
          <w:rFonts w:hint="eastAsia" w:ascii="宋体" w:hAnsi="宋体"/>
          <w:sz w:val="24"/>
          <w:szCs w:val="24"/>
          <w:highlight w:val="none"/>
          <w:u w:val="single"/>
          <w:lang w:eastAsia="zh-CN"/>
        </w:rPr>
        <w:t>老师，0715-8231136</w:t>
      </w:r>
    </w:p>
    <w:p>
      <w:pPr>
        <w:spacing w:line="360" w:lineRule="auto"/>
        <w:ind w:firstLine="480" w:firstLineChars="200"/>
        <w:rPr>
          <w:rFonts w:ascii="宋体" w:hAnsi="宋体" w:cs="Times New Roman"/>
          <w:sz w:val="24"/>
          <w:szCs w:val="24"/>
          <w:highlight w:val="none"/>
        </w:rPr>
      </w:pPr>
      <w:bookmarkStart w:id="17" w:name="_Toc28359097"/>
      <w:bookmarkStart w:id="18" w:name="_Toc35393807"/>
      <w:bookmarkStart w:id="19" w:name="_Toc35393638"/>
      <w:bookmarkStart w:id="20" w:name="_Toc28359020"/>
      <w:r>
        <w:rPr>
          <w:rFonts w:hint="eastAsia" w:ascii="宋体" w:hAnsi="宋体" w:cs="Times New Roman"/>
          <w:sz w:val="24"/>
          <w:szCs w:val="24"/>
          <w:highlight w:val="none"/>
        </w:rPr>
        <w:t>2、采购代理机构信息</w:t>
      </w:r>
      <w:bookmarkEnd w:id="17"/>
      <w:bookmarkEnd w:id="18"/>
      <w:bookmarkEnd w:id="19"/>
      <w:bookmarkEnd w:id="20"/>
    </w:p>
    <w:p>
      <w:pPr>
        <w:spacing w:line="360" w:lineRule="auto"/>
        <w:ind w:firstLine="480" w:firstLineChars="200"/>
        <w:rPr>
          <w:rFonts w:ascii="宋体" w:hAnsi="宋体"/>
          <w:sz w:val="24"/>
          <w:szCs w:val="24"/>
          <w:highlight w:val="none"/>
        </w:rPr>
      </w:pPr>
      <w:bookmarkStart w:id="21" w:name="_Hlk515527078"/>
      <w:r>
        <w:rPr>
          <w:rFonts w:hint="eastAsia" w:ascii="宋体" w:hAnsi="宋体"/>
          <w:sz w:val="24"/>
          <w:szCs w:val="24"/>
          <w:highlight w:val="none"/>
        </w:rPr>
        <w:t>名　　称：</w:t>
      </w:r>
      <w:r>
        <w:rPr>
          <w:rFonts w:hint="eastAsia" w:ascii="宋体" w:hAnsi="宋体"/>
          <w:sz w:val="24"/>
          <w:szCs w:val="24"/>
          <w:highlight w:val="none"/>
          <w:u w:val="single"/>
        </w:rPr>
        <w:t>武汉富纳工程咨询有限公司</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地　　址：</w:t>
      </w:r>
      <w:r>
        <w:rPr>
          <w:rFonts w:hint="eastAsia" w:ascii="宋体" w:hAnsi="宋体"/>
          <w:sz w:val="24"/>
          <w:szCs w:val="24"/>
          <w:highlight w:val="none"/>
          <w:u w:val="single"/>
        </w:rPr>
        <w:t>咸宁市咸宁大道39号国际大厦B座100</w:t>
      </w:r>
      <w:r>
        <w:rPr>
          <w:rFonts w:hint="eastAsia" w:ascii="宋体" w:hAnsi="宋体"/>
          <w:sz w:val="24"/>
          <w:szCs w:val="24"/>
          <w:highlight w:val="none"/>
          <w:u w:val="single"/>
          <w:lang w:val="en-US" w:eastAsia="zh-CN"/>
        </w:rPr>
        <w:t>3</w:t>
      </w:r>
      <w:r>
        <w:rPr>
          <w:rFonts w:hint="eastAsia" w:ascii="宋体" w:hAnsi="宋体"/>
          <w:sz w:val="24"/>
          <w:szCs w:val="24"/>
          <w:highlight w:val="none"/>
          <w:u w:val="single"/>
        </w:rPr>
        <w:t>室</w:t>
      </w:r>
    </w:p>
    <w:p>
      <w:pPr>
        <w:spacing w:line="360" w:lineRule="auto"/>
        <w:ind w:firstLine="480" w:firstLineChars="200"/>
        <w:rPr>
          <w:rFonts w:hint="eastAsia" w:ascii="宋体" w:hAnsi="宋体" w:eastAsiaTheme="minorEastAsia"/>
          <w:sz w:val="24"/>
          <w:szCs w:val="24"/>
          <w:highlight w:val="none"/>
          <w:lang w:eastAsia="zh-CN"/>
        </w:rPr>
      </w:pPr>
      <w:r>
        <w:rPr>
          <w:rFonts w:hint="eastAsia" w:ascii="宋体" w:hAnsi="宋体"/>
          <w:sz w:val="24"/>
          <w:szCs w:val="24"/>
          <w:highlight w:val="none"/>
        </w:rPr>
        <w:t>联系方式：</w:t>
      </w:r>
      <w:bookmarkStart w:id="22" w:name="_Toc35393639"/>
      <w:bookmarkStart w:id="23" w:name="_Toc28359021"/>
      <w:bookmarkStart w:id="24" w:name="_Toc35393808"/>
      <w:bookmarkStart w:id="25" w:name="_Toc28359098"/>
      <w:r>
        <w:rPr>
          <w:rFonts w:hint="eastAsia" w:ascii="宋体" w:hAnsi="宋体"/>
          <w:sz w:val="24"/>
          <w:szCs w:val="24"/>
          <w:highlight w:val="none"/>
          <w:u w:val="single"/>
        </w:rPr>
        <w:t>周泉</w:t>
      </w:r>
      <w:r>
        <w:rPr>
          <w:rFonts w:hint="eastAsia" w:ascii="宋体" w:hAnsi="宋体"/>
          <w:sz w:val="24"/>
          <w:szCs w:val="24"/>
          <w:highlight w:val="none"/>
          <w:u w:val="single"/>
          <w:lang w:eastAsia="zh-CN"/>
        </w:rPr>
        <w:t>、</w:t>
      </w:r>
      <w:r>
        <w:rPr>
          <w:rFonts w:hint="eastAsia" w:ascii="宋体" w:hAnsi="宋体"/>
          <w:sz w:val="24"/>
          <w:szCs w:val="24"/>
          <w:highlight w:val="none"/>
          <w:u w:val="single"/>
        </w:rPr>
        <w:t>13871925233</w:t>
      </w:r>
    </w:p>
    <w:p>
      <w:pPr>
        <w:spacing w:line="360" w:lineRule="auto"/>
        <w:ind w:firstLine="480" w:firstLineChars="200"/>
        <w:rPr>
          <w:rFonts w:ascii="宋体" w:hAnsi="宋体" w:cs="Times New Roman"/>
          <w:sz w:val="24"/>
          <w:szCs w:val="24"/>
          <w:highlight w:val="none"/>
        </w:rPr>
      </w:pPr>
      <w:r>
        <w:rPr>
          <w:rFonts w:hint="eastAsia" w:ascii="宋体" w:hAnsi="宋体" w:cs="Times New Roman"/>
          <w:sz w:val="24"/>
          <w:szCs w:val="24"/>
          <w:highlight w:val="none"/>
        </w:rPr>
        <w:t>3、项目联系</w:t>
      </w:r>
      <w:r>
        <w:rPr>
          <w:rFonts w:ascii="宋体" w:hAnsi="宋体" w:cs="Times New Roman"/>
          <w:sz w:val="24"/>
          <w:szCs w:val="24"/>
          <w:highlight w:val="none"/>
        </w:rPr>
        <w:t>方式</w:t>
      </w:r>
      <w:bookmarkEnd w:id="22"/>
      <w:bookmarkEnd w:id="23"/>
      <w:bookmarkEnd w:id="24"/>
      <w:bookmarkEnd w:id="25"/>
    </w:p>
    <w:p>
      <w:pPr>
        <w:spacing w:line="360" w:lineRule="auto"/>
        <w:ind w:firstLine="480" w:firstLineChars="200"/>
        <w:rPr>
          <w:rFonts w:ascii="宋体" w:hAnsi="宋体"/>
          <w:sz w:val="24"/>
          <w:szCs w:val="24"/>
          <w:highlight w:val="none"/>
          <w:u w:val="single"/>
        </w:rPr>
      </w:pPr>
      <w:r>
        <w:rPr>
          <w:rFonts w:hint="eastAsia" w:ascii="宋体" w:hAnsi="宋体"/>
          <w:sz w:val="24"/>
          <w:szCs w:val="24"/>
          <w:highlight w:val="none"/>
        </w:rPr>
        <w:t>联 系 人：</w:t>
      </w:r>
      <w:r>
        <w:rPr>
          <w:rFonts w:hint="eastAsia" w:ascii="宋体" w:hAnsi="宋体"/>
          <w:sz w:val="24"/>
          <w:szCs w:val="24"/>
          <w:highlight w:val="none"/>
          <w:u w:val="single"/>
        </w:rPr>
        <w:t>周泉</w:t>
      </w:r>
    </w:p>
    <w:p>
      <w:pPr>
        <w:adjustRightInd w:val="0"/>
        <w:snapToGrid w:val="0"/>
        <w:spacing w:line="360" w:lineRule="auto"/>
        <w:ind w:firstLine="480" w:firstLineChars="200"/>
        <w:rPr>
          <w:rFonts w:ascii="宋体" w:hAnsi="宋体"/>
          <w:sz w:val="24"/>
          <w:szCs w:val="24"/>
          <w:highlight w:val="none"/>
          <w:u w:val="single"/>
        </w:rPr>
      </w:pPr>
      <w:r>
        <w:rPr>
          <w:rFonts w:hint="eastAsia" w:ascii="宋体" w:hAnsi="宋体"/>
          <w:sz w:val="24"/>
          <w:szCs w:val="24"/>
          <w:highlight w:val="none"/>
        </w:rPr>
        <w:t>电　　话：</w:t>
      </w:r>
      <w:r>
        <w:rPr>
          <w:rFonts w:hint="eastAsia" w:ascii="宋体" w:hAnsi="宋体"/>
          <w:sz w:val="24"/>
          <w:szCs w:val="24"/>
          <w:highlight w:val="none"/>
          <w:u w:val="single"/>
        </w:rPr>
        <w:t>13871925233</w:t>
      </w:r>
    </w:p>
    <w:p>
      <w:pPr>
        <w:rPr>
          <w:highlight w:val="none"/>
        </w:rPr>
      </w:pPr>
      <w:r>
        <w:rPr>
          <w:highlight w:val="none"/>
        </w:rPr>
        <w:br w:type="page"/>
      </w:r>
    </w:p>
    <w:p>
      <w:pPr>
        <w:pStyle w:val="3"/>
        <w:jc w:val="center"/>
        <w:rPr>
          <w:sz w:val="36"/>
          <w:szCs w:val="36"/>
          <w:highlight w:val="none"/>
        </w:rPr>
      </w:pPr>
      <w:bookmarkStart w:id="26" w:name="_Toc65158779"/>
      <w:r>
        <w:rPr>
          <w:rFonts w:hint="eastAsia"/>
          <w:sz w:val="36"/>
          <w:szCs w:val="36"/>
          <w:highlight w:val="none"/>
        </w:rPr>
        <w:t>供应商须知</w:t>
      </w:r>
      <w:bookmarkEnd w:id="26"/>
    </w:p>
    <w:p>
      <w:pPr>
        <w:pStyle w:val="4"/>
        <w:numPr>
          <w:ilvl w:val="0"/>
          <w:numId w:val="0"/>
        </w:numPr>
        <w:jc w:val="center"/>
        <w:rPr>
          <w:sz w:val="32"/>
          <w:highlight w:val="none"/>
        </w:rPr>
      </w:pPr>
      <w:bookmarkStart w:id="27" w:name="_Toc65158780"/>
      <w:r>
        <w:rPr>
          <w:rFonts w:hint="eastAsia"/>
          <w:sz w:val="32"/>
          <w:highlight w:val="none"/>
        </w:rPr>
        <w:t>供应商</w:t>
      </w:r>
      <w:r>
        <w:rPr>
          <w:sz w:val="32"/>
          <w:highlight w:val="none"/>
        </w:rPr>
        <w:t>须知前附表</w:t>
      </w:r>
      <w:bookmarkEnd w:id="27"/>
    </w:p>
    <w:tbl>
      <w:tblPr>
        <w:tblStyle w:val="3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18"/>
        <w:gridCol w:w="1486"/>
        <w:gridCol w:w="70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blHeader/>
        </w:trPr>
        <w:tc>
          <w:tcPr>
            <w:tcW w:w="339" w:type="pct"/>
            <w:tcBorders>
              <w:top w:val="single" w:color="auto" w:sz="4" w:space="0"/>
              <w:bottom w:val="single" w:color="auto" w:sz="4" w:space="0"/>
              <w:right w:val="single" w:color="auto" w:sz="4" w:space="0"/>
            </w:tcBorders>
            <w:shd w:val="clear" w:color="auto" w:fill="BEBEBE" w:themeFill="background1" w:themeFillShade="BF"/>
            <w:vAlign w:val="center"/>
          </w:tcPr>
          <w:p>
            <w:pPr>
              <w:ind w:left="-65" w:leftChars="-31" w:right="-80" w:rightChars="-38"/>
              <w:jc w:val="center"/>
              <w:rPr>
                <w:rFonts w:ascii="宋体" w:hAnsi="宋体" w:eastAsia="宋体" w:cs="Times New Roman"/>
                <w:bCs/>
                <w:sz w:val="24"/>
                <w:szCs w:val="24"/>
                <w:highlight w:val="none"/>
              </w:rPr>
            </w:pPr>
            <w:r>
              <w:rPr>
                <w:rFonts w:ascii="宋体" w:hAnsi="宋体" w:eastAsia="宋体" w:cs="Times New Roman"/>
                <w:bCs/>
                <w:sz w:val="24"/>
                <w:szCs w:val="24"/>
                <w:highlight w:val="none"/>
              </w:rPr>
              <w:t>序号</w:t>
            </w:r>
          </w:p>
        </w:tc>
        <w:tc>
          <w:tcPr>
            <w:tcW w:w="815"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条款名称</w:t>
            </w:r>
          </w:p>
        </w:tc>
        <w:tc>
          <w:tcPr>
            <w:tcW w:w="3846" w:type="pct"/>
            <w:tcBorders>
              <w:top w:val="single" w:color="auto" w:sz="4" w:space="0"/>
              <w:left w:val="single" w:color="auto" w:sz="4" w:space="0"/>
              <w:bottom w:val="single" w:color="auto" w:sz="4" w:space="0"/>
            </w:tcBorders>
            <w:shd w:val="clear" w:color="auto" w:fill="BEBEBE" w:themeFill="background1" w:themeFillShade="BF"/>
            <w:vAlign w:val="center"/>
          </w:tcPr>
          <w:p>
            <w:pPr>
              <w:ind w:left="57" w:right="57" w:firstLine="482" w:firstLineChars="201"/>
              <w:jc w:val="center"/>
              <w:rPr>
                <w:rFonts w:ascii="Times New Roman" w:hAnsi="Times New Roman" w:eastAsia="宋体" w:cs="Times New Roman"/>
                <w:bCs/>
                <w:sz w:val="24"/>
                <w:szCs w:val="24"/>
                <w:highlight w:val="none"/>
              </w:rPr>
            </w:pPr>
            <w:r>
              <w:rPr>
                <w:rFonts w:ascii="Times New Roman" w:hAnsi="宋体" w:eastAsia="宋体" w:cs="Times New Roman"/>
                <w:bCs/>
                <w:sz w:val="24"/>
                <w:szCs w:val="24"/>
                <w:highlight w:val="none"/>
              </w:rPr>
              <w:t>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采购人</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hint="eastAsia" w:ascii="宋体" w:hAnsi="宋体" w:eastAsia="宋体" w:cs="Times New Roman"/>
                <w:bCs/>
                <w:sz w:val="24"/>
                <w:szCs w:val="24"/>
                <w:highlight w:val="none"/>
              </w:rPr>
              <w:t>湖北科技学院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hint="eastAsia" w:ascii="Times New Roman" w:hAnsi="宋体" w:eastAsia="宋体" w:cs="Times New Roman"/>
                <w:bCs/>
                <w:sz w:val="24"/>
                <w:szCs w:val="24"/>
                <w:highlight w:val="none"/>
              </w:rPr>
            </w:pPr>
            <w:r>
              <w:rPr>
                <w:rFonts w:hint="eastAsia" w:ascii="宋体" w:hAnsi="宋体" w:eastAsia="宋体" w:cs="Times New Roman"/>
                <w:bCs/>
                <w:sz w:val="24"/>
                <w:szCs w:val="24"/>
                <w:highlight w:val="none"/>
              </w:rPr>
              <w:t>代理机构</w:t>
            </w:r>
          </w:p>
        </w:tc>
        <w:tc>
          <w:tcPr>
            <w:tcW w:w="3846" w:type="pct"/>
            <w:tcBorders>
              <w:top w:val="single" w:color="auto" w:sz="4" w:space="0"/>
              <w:left w:val="single" w:color="auto" w:sz="4" w:space="0"/>
              <w:bottom w:val="single" w:color="auto" w:sz="4" w:space="0"/>
            </w:tcBorders>
            <w:shd w:val="clear" w:color="auto" w:fill="auto"/>
            <w:vAlign w:val="center"/>
          </w:tcPr>
          <w:p>
            <w:pPr>
              <w:rPr>
                <w:rFonts w:hint="eastAsia" w:ascii="宋体" w:hAnsi="宋体" w:eastAsia="宋体" w:cs="Times New Roman"/>
                <w:bCs/>
                <w:sz w:val="24"/>
                <w:szCs w:val="24"/>
                <w:highlight w:val="none"/>
              </w:rPr>
            </w:pPr>
            <w:r>
              <w:rPr>
                <w:rFonts w:hint="eastAsia" w:ascii="宋体" w:hAnsi="宋体"/>
                <w:sz w:val="24"/>
                <w:szCs w:val="24"/>
                <w:highlight w:val="none"/>
              </w:rPr>
              <w:t>武汉富纳工程咨询有限公司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项目编号</w:t>
            </w:r>
          </w:p>
        </w:tc>
        <w:tc>
          <w:tcPr>
            <w:tcW w:w="3846" w:type="pct"/>
            <w:tcBorders>
              <w:top w:val="single" w:color="auto" w:sz="4" w:space="0"/>
              <w:left w:val="single" w:color="auto" w:sz="4" w:space="0"/>
              <w:bottom w:val="single" w:color="auto" w:sz="4" w:space="0"/>
            </w:tcBorders>
            <w:shd w:val="clear" w:color="auto" w:fill="auto"/>
            <w:vAlign w:val="center"/>
          </w:tcPr>
          <w:p>
            <w:pPr>
              <w:rPr>
                <w:rFonts w:hint="eastAsia" w:ascii="宋体" w:hAnsi="宋体" w:eastAsia="宋体" w:cs="Times New Roman"/>
                <w:bCs/>
                <w:sz w:val="24"/>
                <w:szCs w:val="24"/>
                <w:highlight w:val="none"/>
                <w:lang w:eastAsia="zh-CN"/>
              </w:rPr>
            </w:pPr>
            <w:r>
              <w:rPr>
                <w:rFonts w:hint="eastAsia" w:ascii="宋体" w:hAnsi="宋体" w:eastAsia="宋体"/>
                <w:sz w:val="24"/>
                <w:szCs w:val="24"/>
                <w:highlight w:val="none"/>
                <w:lang w:eastAsia="zh-CN"/>
              </w:rPr>
              <w:t>HK2021-076-Z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项目名称</w:t>
            </w:r>
          </w:p>
        </w:tc>
        <w:tc>
          <w:tcPr>
            <w:tcW w:w="3846" w:type="pct"/>
            <w:tcBorders>
              <w:top w:val="single" w:color="auto" w:sz="4" w:space="0"/>
              <w:left w:val="single" w:color="auto" w:sz="4" w:space="0"/>
              <w:bottom w:val="single" w:color="auto" w:sz="4" w:space="0"/>
            </w:tcBorders>
            <w:shd w:val="clear" w:color="auto" w:fill="auto"/>
            <w:vAlign w:val="center"/>
          </w:tcPr>
          <w:p>
            <w:pPr>
              <w:rPr>
                <w:rFonts w:hint="eastAsia" w:ascii="Times New Roman" w:hAnsi="Times New Roman" w:eastAsia="宋体" w:cs="Times New Roman"/>
                <w:bCs/>
                <w:sz w:val="24"/>
                <w:szCs w:val="24"/>
                <w:highlight w:val="none"/>
                <w:lang w:eastAsia="zh-CN"/>
              </w:rPr>
            </w:pPr>
            <w:r>
              <w:rPr>
                <w:rFonts w:hint="eastAsia" w:ascii="宋体" w:hAnsi="宋体" w:eastAsia="宋体"/>
                <w:sz w:val="24"/>
                <w:szCs w:val="24"/>
                <w:highlight w:val="none"/>
                <w:lang w:eastAsia="zh-CN"/>
              </w:rPr>
              <w:t>湖北科技学院药学院2021年医药工程学科群设备采购项目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项目属性</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hAnsi="宋体" w:eastAsia="宋体" w:cs="宋体"/>
                <w:bCs/>
                <w:kern w:val="0"/>
                <w:sz w:val="24"/>
                <w:szCs w:val="24"/>
                <w:highlight w:val="none"/>
              </w:rPr>
            </w:pPr>
            <w:r>
              <w:rPr>
                <w:rFonts w:hint="eastAsia" w:ascii="宋体" w:hAnsi="宋体" w:eastAsia="宋体"/>
                <w:sz w:val="24"/>
                <w:szCs w:val="24"/>
                <w:highlight w:val="none"/>
                <w:lang w:eastAsia="zh-CN"/>
              </w:rPr>
              <w:t>□</w:t>
            </w:r>
            <w:r>
              <w:rPr>
                <w:rFonts w:hint="eastAsia" w:ascii="宋体" w:hAnsi="宋体"/>
                <w:sz w:val="24"/>
                <w:szCs w:val="24"/>
                <w:highlight w:val="none"/>
              </w:rPr>
              <w:t xml:space="preserve">工程 </w:t>
            </w:r>
            <w:r>
              <w:rPr>
                <w:rFonts w:ascii="宋体" w:hAnsi="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货物 </w:t>
            </w:r>
            <w:r>
              <w:rPr>
                <w:rFonts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资金来源</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hAnsi="宋体" w:eastAsia="宋体" w:cs="宋体"/>
                <w:bCs/>
                <w:kern w:val="0"/>
                <w:sz w:val="24"/>
                <w:szCs w:val="24"/>
                <w:highlight w:val="none"/>
              </w:rPr>
            </w:pPr>
            <w:r>
              <w:rPr>
                <w:rFonts w:ascii="宋体" w:cs="宋体"/>
                <w:color w:val="000000" w:themeColor="text1"/>
                <w:sz w:val="24"/>
                <w:szCs w:val="24"/>
                <w:highlight w:val="none"/>
                <w14:textFill>
                  <w14:solidFill>
                    <w14:schemeClr w14:val="tx1"/>
                  </w14:solidFill>
                </w14:textFill>
              </w:rPr>
              <w:t>财政资金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中小企业</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Times New Roman" w:hAnsi="Times New Roman" w:eastAsia="宋体" w:cs="Times New Roman"/>
                <w:bCs/>
                <w:sz w:val="24"/>
                <w:szCs w:val="24"/>
                <w:highlight w:val="none"/>
              </w:rPr>
              <w:t>非专门面向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监狱企业</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Times New Roman" w:hAnsi="Times New Roman" w:eastAsia="宋体" w:cs="Times New Roman"/>
                <w:bCs/>
                <w:sz w:val="24"/>
                <w:szCs w:val="24"/>
                <w:highlight w:val="none"/>
              </w:rPr>
              <w:t>非专门面向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实物样品</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宋体" w:hAnsi="宋体" w:eastAsia="宋体" w:cs="Times New Roman"/>
                <w:bCs/>
                <w:sz w:val="24"/>
                <w:szCs w:val="24"/>
                <w:highlight w:val="none"/>
              </w:rPr>
              <w:t>不提交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现场考察</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宋体" w:hAnsi="宋体" w:eastAsia="宋体" w:cs="Times New Roman"/>
                <w:bCs/>
                <w:sz w:val="24"/>
                <w:szCs w:val="24"/>
                <w:highlight w:val="none"/>
              </w:rPr>
              <w:t>不组织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备选方案</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宋体" w:hAnsi="宋体" w:eastAsia="宋体" w:cs="Times New Roman"/>
                <w:bCs/>
                <w:sz w:val="24"/>
                <w:szCs w:val="24"/>
                <w:highlight w:val="none"/>
              </w:rPr>
              <w:t>不允许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磋商有效期</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宋体" w:hAnsi="宋体" w:eastAsia="宋体" w:cs="宋体"/>
                <w:bCs/>
                <w:kern w:val="0"/>
                <w:sz w:val="24"/>
                <w:szCs w:val="24"/>
                <w:highlight w:val="none"/>
              </w:rPr>
              <w:t>提交竞争性磋商响应文件截止之日起90日历日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响应文件</w:t>
            </w:r>
          </w:p>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份数</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hAnsi="宋体" w:eastAsia="宋体" w:cs="宋体"/>
                <w:bCs/>
                <w:kern w:val="0"/>
                <w:sz w:val="24"/>
                <w:szCs w:val="24"/>
                <w:highlight w:val="none"/>
              </w:rPr>
            </w:pPr>
            <w:r>
              <w:rPr>
                <w:rFonts w:hint="eastAsia" w:ascii="宋体" w:hAnsi="宋体" w:cs="宋体"/>
                <w:color w:val="000000" w:themeColor="text1"/>
                <w:sz w:val="24"/>
                <w:szCs w:val="24"/>
                <w:highlight w:val="none"/>
                <w14:textFill>
                  <w14:solidFill>
                    <w14:schemeClr w14:val="tx1"/>
                  </w14:solidFill>
                </w14:textFill>
              </w:rPr>
              <w:t>正本</w:t>
            </w:r>
            <w:r>
              <w:rPr>
                <w:rFonts w:ascii="宋体" w:hAnsi="宋体" w:cs="宋体"/>
                <w:color w:val="000000" w:themeColor="text1"/>
                <w:sz w:val="24"/>
                <w:szCs w:val="24"/>
                <w:highlight w:val="none"/>
                <w:u w:val="single"/>
                <w14:textFill>
                  <w14:solidFill>
                    <w14:schemeClr w14:val="tx1"/>
                  </w14:solidFill>
                </w14:textFill>
              </w:rPr>
              <w:t xml:space="preserve"> 1 </w:t>
            </w:r>
            <w:r>
              <w:rPr>
                <w:rFonts w:hint="eastAsia" w:ascii="宋体" w:hAnsi="宋体" w:cs="宋体"/>
                <w:color w:val="000000" w:themeColor="text1"/>
                <w:sz w:val="24"/>
                <w:szCs w:val="24"/>
                <w:highlight w:val="none"/>
                <w14:textFill>
                  <w14:solidFill>
                    <w14:schemeClr w14:val="tx1"/>
                  </w14:solidFill>
                </w14:textFill>
              </w:rPr>
              <w:t>份，副本</w:t>
            </w:r>
            <w:r>
              <w:rPr>
                <w:rFonts w:ascii="宋体" w:hAnsi="宋体" w:cs="宋体"/>
                <w:color w:val="000000" w:themeColor="text1"/>
                <w:sz w:val="24"/>
                <w:szCs w:val="24"/>
                <w:highlight w:val="none"/>
                <w:u w:val="single"/>
                <w14:textFill>
                  <w14:solidFill>
                    <w14:schemeClr w14:val="tx1"/>
                  </w14:solidFill>
                </w14:textFill>
              </w:rPr>
              <w:t xml:space="preserve"> 2 </w:t>
            </w:r>
            <w:r>
              <w:rPr>
                <w:rFonts w:hint="eastAsia" w:ascii="宋体" w:hAnsi="宋体" w:cs="宋体"/>
                <w:color w:val="000000" w:themeColor="text1"/>
                <w:sz w:val="24"/>
                <w:szCs w:val="24"/>
                <w:highlight w:val="none"/>
                <w14:textFill>
                  <w14:solidFill>
                    <w14:schemeClr w14:val="tx1"/>
                  </w14:solidFill>
                </w14:textFill>
              </w:rPr>
              <w:t>份，电子版</w:t>
            </w:r>
            <w:r>
              <w:rPr>
                <w:rFonts w:ascii="宋体" w:hAnsi="宋体" w:cs="宋体"/>
                <w:color w:val="000000" w:themeColor="text1"/>
                <w:sz w:val="24"/>
                <w:szCs w:val="24"/>
                <w:highlight w:val="none"/>
                <w:u w:val="single"/>
                <w14:textFill>
                  <w14:solidFill>
                    <w14:schemeClr w14:val="tx1"/>
                  </w14:solidFill>
                </w14:textFill>
              </w:rPr>
              <w:t xml:space="preserve"> 1 </w:t>
            </w:r>
            <w:r>
              <w:rPr>
                <w:rFonts w:hint="eastAsia" w:ascii="宋体" w:hAnsi="宋体" w:cs="宋体"/>
                <w:color w:val="000000" w:themeColor="text1"/>
                <w:sz w:val="24"/>
                <w:szCs w:val="24"/>
                <w:highlight w:val="none"/>
                <w14:textFill>
                  <w14:solidFill>
                    <w14:schemeClr w14:val="tx1"/>
                  </w14:solidFill>
                </w14:textFill>
              </w:rPr>
              <w:t>份（</w:t>
            </w:r>
            <w:r>
              <w:rPr>
                <w:rFonts w:ascii="宋体" w:hAnsi="宋体" w:cs="宋体"/>
                <w:color w:val="000000" w:themeColor="text1"/>
                <w:sz w:val="24"/>
                <w:szCs w:val="24"/>
                <w:highlight w:val="none"/>
                <w14:textFill>
                  <w14:solidFill>
                    <w14:schemeClr w14:val="tx1"/>
                  </w14:solidFill>
                </w14:textFill>
              </w:rPr>
              <w:t>U</w:t>
            </w:r>
            <w:r>
              <w:rPr>
                <w:rFonts w:hint="eastAsia" w:ascii="宋体" w:hAnsi="宋体" w:cs="宋体"/>
                <w:color w:val="000000" w:themeColor="text1"/>
                <w:sz w:val="24"/>
                <w:szCs w:val="24"/>
                <w:highlight w:val="none"/>
                <w14:textFill>
                  <w14:solidFill>
                    <w14:schemeClr w14:val="tx1"/>
                  </w14:solidFill>
                </w14:textFill>
              </w:rPr>
              <w:t>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响应文件递交截止时间及地点</w:t>
            </w:r>
          </w:p>
        </w:tc>
        <w:tc>
          <w:tcPr>
            <w:tcW w:w="3846" w:type="pct"/>
            <w:tcBorders>
              <w:top w:val="single" w:color="auto" w:sz="4" w:space="0"/>
              <w:left w:val="single" w:color="auto" w:sz="4" w:space="0"/>
              <w:bottom w:val="single" w:color="auto" w:sz="4" w:space="0"/>
            </w:tcBorders>
            <w:shd w:val="clear" w:color="auto" w:fill="auto"/>
            <w:vAlign w:val="center"/>
          </w:tcPr>
          <w:p>
            <w:pPr>
              <w:autoSpaceDE w:val="0"/>
              <w:autoSpaceDN w:val="0"/>
              <w:adjustRightInd w:val="0"/>
              <w:snapToGrid w:val="0"/>
              <w:spacing w:line="280" w:lineRule="exact"/>
              <w:jc w:val="left"/>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截止时间：</w:t>
            </w:r>
            <w:r>
              <w:rPr>
                <w:rFonts w:hint="eastAsia" w:ascii="宋体" w:hAnsi="宋体"/>
                <w:sz w:val="24"/>
                <w:szCs w:val="24"/>
                <w:highlight w:val="none"/>
              </w:rPr>
              <w:t>202</w:t>
            </w:r>
            <w:r>
              <w:rPr>
                <w:rFonts w:ascii="宋体" w:hAnsi="宋体"/>
                <w:sz w:val="24"/>
                <w:szCs w:val="24"/>
                <w:highlight w:val="none"/>
              </w:rPr>
              <w:t>1</w:t>
            </w:r>
            <w:r>
              <w:rPr>
                <w:rFonts w:hint="eastAsia" w:ascii="宋体" w:hAnsi="宋体"/>
                <w:sz w:val="24"/>
                <w:szCs w:val="24"/>
                <w:highlight w:val="none"/>
              </w:rPr>
              <w:t>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31</w:t>
            </w:r>
            <w:r>
              <w:rPr>
                <w:rFonts w:hint="eastAsia" w:ascii="宋体" w:hAnsi="宋体"/>
                <w:sz w:val="24"/>
                <w:szCs w:val="24"/>
                <w:highlight w:val="none"/>
              </w:rPr>
              <w:t>日</w:t>
            </w:r>
            <w:r>
              <w:rPr>
                <w:rFonts w:hint="eastAsia" w:ascii="宋体" w:hAnsi="宋体"/>
                <w:sz w:val="24"/>
                <w:szCs w:val="24"/>
                <w:highlight w:val="none"/>
                <w:lang w:val="en-US" w:eastAsia="zh-CN"/>
              </w:rPr>
              <w:t>09</w:t>
            </w:r>
            <w:r>
              <w:rPr>
                <w:rFonts w:hint="eastAsia" w:ascii="宋体" w:hAnsi="宋体"/>
                <w:sz w:val="24"/>
                <w:szCs w:val="24"/>
                <w:highlight w:val="none"/>
              </w:rPr>
              <w:t>点00分（北京时间）</w:t>
            </w:r>
          </w:p>
          <w:p>
            <w:pPr>
              <w:rPr>
                <w:rFonts w:ascii="Times New Roman" w:hAnsi="Times New Roman" w:eastAsia="宋体" w:cs="Times New Roman"/>
                <w:bCs/>
                <w:sz w:val="24"/>
                <w:szCs w:val="24"/>
                <w:highlight w:val="none"/>
              </w:rPr>
            </w:pPr>
            <w:r>
              <w:rPr>
                <w:rFonts w:hint="eastAsia" w:ascii="宋体" w:hAnsi="宋体" w:cs="宋体"/>
                <w:color w:val="000000" w:themeColor="text1"/>
                <w:sz w:val="24"/>
                <w:szCs w:val="24"/>
                <w:highlight w:val="none"/>
                <w:lang w:val="zh-CN"/>
                <w14:textFill>
                  <w14:solidFill>
                    <w14:schemeClr w14:val="tx1"/>
                  </w14:solidFill>
                </w14:textFill>
              </w:rPr>
              <w:t>递交地点：咸宁市咸宁大道39号国际大厦B座100</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val="zh-CN"/>
                <w14:textFill>
                  <w14:solidFill>
                    <w14:schemeClr w14:val="tx1"/>
                  </w14:solidFill>
                </w14:textFill>
              </w:rPr>
              <w:t>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磋商小组的组建</w:t>
            </w:r>
          </w:p>
        </w:tc>
        <w:tc>
          <w:tcPr>
            <w:tcW w:w="3846" w:type="pct"/>
            <w:tcBorders>
              <w:top w:val="single" w:color="auto" w:sz="4" w:space="0"/>
              <w:left w:val="single" w:color="auto" w:sz="4" w:space="0"/>
              <w:bottom w:val="single" w:color="auto" w:sz="4" w:space="0"/>
            </w:tcBorders>
            <w:shd w:val="clear" w:color="auto" w:fill="auto"/>
            <w:vAlign w:val="center"/>
          </w:tcPr>
          <w:p>
            <w:pPr>
              <w:adjustRightInd w:val="0"/>
              <w:snapToGrid w:val="0"/>
              <w:spacing w:line="280" w:lineRule="exact"/>
              <w:jc w:val="left"/>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磋商小组构成：</w:t>
            </w:r>
            <w:r>
              <w:rPr>
                <w:rFonts w:ascii="宋体" w:hAnsi="宋体" w:cs="宋体"/>
                <w:color w:val="000000" w:themeColor="text1"/>
                <w:sz w:val="24"/>
                <w:szCs w:val="24"/>
                <w:highlight w:val="none"/>
                <w:u w:val="singl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人，其中采购人代表</w:t>
            </w:r>
            <w:r>
              <w:rPr>
                <w:rFonts w:ascii="宋体" w:hAnsi="宋体" w:cs="宋体"/>
                <w:color w:val="000000" w:themeColor="text1"/>
                <w:sz w:val="24"/>
                <w:szCs w:val="24"/>
                <w:highlight w:val="none"/>
                <w:u w:val="singl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人，评审专家</w:t>
            </w:r>
            <w:r>
              <w:rPr>
                <w:rFonts w:ascii="宋体" w:hAnsi="宋体" w:cs="宋体"/>
                <w:color w:val="000000" w:themeColor="text1"/>
                <w:sz w:val="24"/>
                <w:szCs w:val="24"/>
                <w:highlight w:val="none"/>
                <w:u w:val="singl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人；</w:t>
            </w:r>
          </w:p>
          <w:p>
            <w:pPr>
              <w:rPr>
                <w:rFonts w:cs="Times New Roman" w:asciiTheme="minorEastAsia" w:hAnsiTheme="minorEastAsia"/>
                <w:bCs/>
                <w:sz w:val="24"/>
                <w:szCs w:val="24"/>
                <w:highlight w:val="none"/>
              </w:rPr>
            </w:pPr>
            <w:r>
              <w:rPr>
                <w:rFonts w:hint="eastAsia" w:ascii="宋体" w:hAnsi="宋体" w:cs="宋体"/>
                <w:color w:val="000000" w:themeColor="text1"/>
                <w:sz w:val="24"/>
                <w:szCs w:val="24"/>
                <w:highlight w:val="none"/>
                <w14:textFill>
                  <w14:solidFill>
                    <w14:schemeClr w14:val="tx1"/>
                  </w14:solidFill>
                </w14:textFill>
              </w:rPr>
              <w:t>评审专家确定方式：从湖北省政府采购评审专家管理系统</w:t>
            </w:r>
            <w:r>
              <w:rPr>
                <w:rFonts w:hint="eastAsia" w:ascii="宋体" w:hAnsi="宋体" w:cs="宋体"/>
                <w:color w:val="000000" w:themeColor="text1"/>
                <w:sz w:val="24"/>
                <w:szCs w:val="24"/>
                <w:highlight w:val="none"/>
                <w:lang w:val="zh-CN"/>
                <w14:textFill>
                  <w14:solidFill>
                    <w14:schemeClr w14:val="tx1"/>
                  </w14:solidFill>
                </w14:textFill>
              </w:rPr>
              <w:t>专家库中随机抽取</w:t>
            </w:r>
            <w:r>
              <w:rPr>
                <w:rFonts w:hint="eastAsia" w:ascii="宋体" w:hAnsi="宋体" w:cs="宋体"/>
                <w:color w:val="000000" w:themeColor="text1"/>
                <w:sz w:val="24"/>
                <w:szCs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评审办法</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综合评分法</w:t>
            </w:r>
          </w:p>
          <w:p>
            <w:pP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详见第四章“评审标准及方法”要求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成交供应商</w:t>
            </w:r>
          </w:p>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的确定</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成交采用下述的第</w:t>
            </w:r>
            <w:r>
              <w:rPr>
                <w:rFonts w:hint="eastAsia" w:ascii="Times New Roman" w:hAnsi="Times New Roman" w:eastAsia="宋体" w:cs="Times New Roman"/>
                <w:bCs/>
                <w:sz w:val="24"/>
                <w:szCs w:val="24"/>
                <w:highlight w:val="none"/>
                <w:u w:val="single"/>
              </w:rPr>
              <w:t xml:space="preserve"> </w:t>
            </w:r>
            <w:r>
              <w:rPr>
                <w:rFonts w:ascii="Times New Roman" w:hAnsi="Times New Roman" w:eastAsia="宋体" w:cs="Times New Roman"/>
                <w:bCs/>
                <w:sz w:val="24"/>
                <w:szCs w:val="24"/>
                <w:highlight w:val="none"/>
                <w:u w:val="single"/>
              </w:rPr>
              <w:t xml:space="preserve">1 </w:t>
            </w:r>
            <w:r>
              <w:rPr>
                <w:rFonts w:hint="eastAsia" w:ascii="Times New Roman" w:hAnsi="Times New Roman" w:eastAsia="宋体" w:cs="Times New Roman"/>
                <w:bCs/>
                <w:sz w:val="24"/>
                <w:szCs w:val="24"/>
                <w:highlight w:val="none"/>
              </w:rPr>
              <w:t>种规定执行——</w:t>
            </w:r>
          </w:p>
          <w:p>
            <w:pPr>
              <w:pStyle w:val="50"/>
              <w:numPr>
                <w:ilvl w:val="0"/>
                <w:numId w:val="3"/>
              </w:numPr>
              <w:ind w:firstLineChars="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采购人确定；</w:t>
            </w:r>
          </w:p>
          <w:p>
            <w:pPr>
              <w:pStyle w:val="50"/>
              <w:numPr>
                <w:ilvl w:val="0"/>
                <w:numId w:val="3"/>
              </w:numPr>
              <w:ind w:firstLineChars="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采购人委托磋商小组确定。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成交后分包</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不允许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公告媒体</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hint="eastAsia" w:cs="Times New Roman" w:asciiTheme="minorEastAsia" w:hAnsiTheme="minorEastAsia"/>
                <w:bCs/>
                <w:sz w:val="24"/>
                <w:szCs w:val="24"/>
                <w:highlight w:val="none"/>
              </w:rPr>
              <w:t>详见竞争性磋商公告指明公告媒体</w:t>
            </w:r>
          </w:p>
        </w:tc>
      </w:tr>
    </w:tbl>
    <w:p>
      <w:pPr>
        <w:adjustRightInd w:val="0"/>
        <w:snapToGrid w:val="0"/>
        <w:spacing w:line="28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注：本表是对供应商须知的具体补充和修改，如有矛盾，应以本表为准。</w:t>
      </w:r>
    </w:p>
    <w:p>
      <w:pPr>
        <w:pStyle w:val="4"/>
        <w:jc w:val="center"/>
        <w:rPr>
          <w:sz w:val="32"/>
          <w:highlight w:val="none"/>
        </w:rPr>
      </w:pPr>
      <w:bookmarkStart w:id="28" w:name="_Toc65158781"/>
      <w:r>
        <w:rPr>
          <w:rFonts w:hint="eastAsia"/>
          <w:sz w:val="32"/>
          <w:highlight w:val="none"/>
        </w:rPr>
        <w:t>说</w:t>
      </w:r>
      <w:r>
        <w:rPr>
          <w:sz w:val="32"/>
          <w:highlight w:val="none"/>
        </w:rPr>
        <w:t>明</w:t>
      </w:r>
      <w:bookmarkEnd w:id="28"/>
    </w:p>
    <w:p>
      <w:pPr>
        <w:adjustRightInd w:val="0"/>
        <w:snapToGrid w:val="0"/>
        <w:spacing w:line="360" w:lineRule="auto"/>
        <w:rPr>
          <w:rFonts w:ascii="宋体" w:hAnsi="宋体" w:eastAsia="宋体"/>
          <w:sz w:val="24"/>
          <w:szCs w:val="24"/>
          <w:highlight w:val="none"/>
        </w:rPr>
      </w:pPr>
      <w:bookmarkStart w:id="29" w:name="_Hlk64620603"/>
      <w:r>
        <w:rPr>
          <w:rFonts w:ascii="宋体" w:hAnsi="宋体" w:eastAsia="宋体"/>
          <w:sz w:val="24"/>
          <w:szCs w:val="24"/>
          <w:highlight w:val="none"/>
        </w:rPr>
        <w:t>1.适用范围</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本竞争性磋商文件适用于第一章“竞争性磋商公告”中所述项目的采购。</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2.当事人定义</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2.1 “采购人”是指：详见第一章“竞争性磋商公告”。</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2.2 “监管部门”是指：湖北省财政厅。</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2.3 “代理机构”或“政府采购代理机构”是指：依法成立，从事采购代理业务，并提供相关服务的社会中介组织，本项目代理机构详见“供应商须知前附表”。</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2.4 “供应商”是指：响应</w:t>
      </w:r>
      <w:r>
        <w:rPr>
          <w:rFonts w:hint="eastAsia" w:ascii="宋体" w:hAnsi="宋体" w:eastAsia="宋体"/>
          <w:sz w:val="24"/>
          <w:szCs w:val="24"/>
          <w:highlight w:val="none"/>
        </w:rPr>
        <w:t>磋商</w:t>
      </w:r>
      <w:r>
        <w:rPr>
          <w:rFonts w:ascii="宋体" w:hAnsi="宋体" w:eastAsia="宋体"/>
          <w:sz w:val="24"/>
          <w:szCs w:val="24"/>
          <w:highlight w:val="none"/>
        </w:rPr>
        <w:t>、参加</w:t>
      </w:r>
      <w:r>
        <w:rPr>
          <w:rFonts w:hint="eastAsia" w:ascii="宋体" w:hAnsi="宋体" w:eastAsia="宋体"/>
          <w:sz w:val="24"/>
          <w:szCs w:val="24"/>
          <w:highlight w:val="none"/>
        </w:rPr>
        <w:t>磋商</w:t>
      </w:r>
      <w:r>
        <w:rPr>
          <w:rFonts w:ascii="宋体" w:hAnsi="宋体" w:eastAsia="宋体"/>
          <w:sz w:val="24"/>
          <w:szCs w:val="24"/>
          <w:highlight w:val="none"/>
        </w:rPr>
        <w:t>竞争的法人、其他组织或者自然人。</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2.5 “合格供应商”是指：资格性和符合性审查均合格的供应商。</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2.6 “成交供应商”是指：经磋商小组评审，授予合同的供应商。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3.项目属性及定义</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3.1 “货物”是指：各种形态和种类的物品，包括原材料、燃料、设备、产品等。</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3.1.1 竞争性磋商文件中没有提及</w:t>
      </w:r>
      <w:r>
        <w:rPr>
          <w:rFonts w:hint="eastAsia" w:ascii="宋体" w:hAnsi="宋体" w:eastAsia="宋体"/>
          <w:sz w:val="24"/>
          <w:szCs w:val="24"/>
          <w:highlight w:val="none"/>
        </w:rPr>
        <w:t>采购</w:t>
      </w:r>
      <w:r>
        <w:rPr>
          <w:rFonts w:ascii="宋体" w:hAnsi="宋体" w:eastAsia="宋体"/>
          <w:sz w:val="24"/>
          <w:szCs w:val="24"/>
          <w:highlight w:val="none"/>
        </w:rPr>
        <w:t>货物来源地的，根据《中华人民共和国政府采购法》及相关规定均应是本国货物，另有规定的除外。</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 xml:space="preserve">3.1.2 </w:t>
      </w:r>
      <w:r>
        <w:rPr>
          <w:rFonts w:hint="eastAsia" w:ascii="宋体" w:hAnsi="宋体" w:eastAsia="宋体"/>
          <w:sz w:val="24"/>
          <w:szCs w:val="24"/>
          <w:highlight w:val="none"/>
        </w:rPr>
        <w:t>供应商所投</w:t>
      </w:r>
      <w:r>
        <w:rPr>
          <w:rFonts w:ascii="宋体" w:hAnsi="宋体" w:eastAsia="宋体"/>
          <w:sz w:val="24"/>
          <w:szCs w:val="24"/>
          <w:highlight w:val="none"/>
        </w:rPr>
        <w:t>货物应是合法生产的符合国家有关标准要求的货物，并能够按照合同规定的品牌、产地、质量、价格和有效期等履约。</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3.2 “工程”是指：建设工程，包括建筑物和构筑物的新建、改建、扩建及其相关的装修、拆除、修缮等。</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3.3 “服务”是指：除货物和工程（含本章3.2条所述工程所定义工程）以外的其他政府采购对象,包括政府自身需要的服务和政府向社会公众提供的公共服务。</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3.4 采购人应按照财政部制定的《政府采购品目分类目录》确定采购项目属性。按照《政府采购品目分类目录》无法确定的，按照有利于采购项目实施的原则确定。</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4.</w:t>
      </w:r>
      <w:r>
        <w:rPr>
          <w:rFonts w:hint="eastAsia" w:ascii="宋体" w:hAnsi="宋体" w:eastAsia="宋体"/>
          <w:sz w:val="24"/>
          <w:szCs w:val="24"/>
          <w:highlight w:val="none"/>
        </w:rPr>
        <w:t>磋商</w:t>
      </w:r>
      <w:r>
        <w:rPr>
          <w:rFonts w:ascii="宋体" w:hAnsi="宋体" w:eastAsia="宋体"/>
          <w:sz w:val="24"/>
          <w:szCs w:val="24"/>
          <w:highlight w:val="none"/>
        </w:rPr>
        <w:t>费用</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4.1 供应商应承担所有与准备和参加</w:t>
      </w:r>
      <w:r>
        <w:rPr>
          <w:rFonts w:hint="eastAsia" w:ascii="宋体" w:hAnsi="宋体" w:eastAsia="宋体"/>
          <w:sz w:val="24"/>
          <w:szCs w:val="24"/>
          <w:highlight w:val="none"/>
        </w:rPr>
        <w:t>磋商</w:t>
      </w:r>
      <w:r>
        <w:rPr>
          <w:rFonts w:ascii="宋体" w:hAnsi="宋体" w:eastAsia="宋体"/>
          <w:sz w:val="24"/>
          <w:szCs w:val="24"/>
          <w:highlight w:val="none"/>
        </w:rPr>
        <w:t>有关的费用。不论</w:t>
      </w:r>
      <w:r>
        <w:rPr>
          <w:rFonts w:hint="eastAsia" w:ascii="宋体" w:hAnsi="宋体" w:eastAsia="宋体"/>
          <w:sz w:val="24"/>
          <w:szCs w:val="24"/>
          <w:highlight w:val="none"/>
        </w:rPr>
        <w:t>成交</w:t>
      </w:r>
      <w:r>
        <w:rPr>
          <w:rFonts w:ascii="宋体" w:hAnsi="宋体" w:eastAsia="宋体"/>
          <w:sz w:val="24"/>
          <w:szCs w:val="24"/>
          <w:highlight w:val="none"/>
        </w:rPr>
        <w:t>的结果如何，代理机构和采购人均无义务和责任承担这些费用。</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 xml:space="preserve">4.2 </w:t>
      </w:r>
      <w:r>
        <w:rPr>
          <w:rFonts w:hint="eastAsia" w:ascii="宋体" w:hAnsi="宋体" w:eastAsia="宋体"/>
          <w:sz w:val="24"/>
          <w:szCs w:val="24"/>
          <w:highlight w:val="none"/>
        </w:rPr>
        <w:t>采购</w:t>
      </w:r>
      <w:r>
        <w:rPr>
          <w:rFonts w:ascii="宋体" w:hAnsi="宋体" w:eastAsia="宋体"/>
          <w:sz w:val="24"/>
          <w:szCs w:val="24"/>
          <w:highlight w:val="none"/>
        </w:rPr>
        <w:t>代理服务费。</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4.2.1 根据国家发展改革委发布的《国家发展改革委关于进一步放开建设项目专业服务价格的通知》（发改价格[2015]299号）的规定，经与招标人约定，参照国家发展改革委员会颁布的《关于降低部分建设项目收费标准规范收费行为等有关问题的通知》（发改价格[2011]534号）、《关于招标代理服务收费有关问题的通知》（发改办价格[2003]857号）、《招标代理服务收费管理暂行办法》（计价格[2002]1980号）文件的规定，本项目</w:t>
      </w:r>
      <w:r>
        <w:rPr>
          <w:rFonts w:hint="eastAsia" w:ascii="宋体" w:hAnsi="宋体" w:eastAsia="宋体"/>
          <w:sz w:val="24"/>
          <w:szCs w:val="24"/>
          <w:highlight w:val="none"/>
        </w:rPr>
        <w:t>采购</w:t>
      </w:r>
      <w:r>
        <w:rPr>
          <w:rFonts w:ascii="宋体" w:hAnsi="宋体" w:eastAsia="宋体"/>
          <w:sz w:val="24"/>
          <w:szCs w:val="24"/>
          <w:highlight w:val="none"/>
        </w:rPr>
        <w:t>代理服务费由</w:t>
      </w:r>
      <w:r>
        <w:rPr>
          <w:rFonts w:hint="eastAsia" w:ascii="宋体" w:hAnsi="宋体" w:eastAsia="宋体"/>
          <w:sz w:val="24"/>
          <w:szCs w:val="24"/>
          <w:highlight w:val="none"/>
        </w:rPr>
        <w:t>成交供应商</w:t>
      </w:r>
      <w:r>
        <w:rPr>
          <w:rFonts w:ascii="宋体" w:hAnsi="宋体" w:eastAsia="宋体"/>
          <w:sz w:val="24"/>
          <w:szCs w:val="24"/>
          <w:highlight w:val="none"/>
        </w:rPr>
        <w:t>按上述招标代理服务收费标准的</w:t>
      </w:r>
      <w:r>
        <w:rPr>
          <w:rFonts w:hint="eastAsia" w:ascii="宋体" w:hAnsi="宋体" w:eastAsia="宋体"/>
          <w:b/>
          <w:bCs/>
          <w:sz w:val="24"/>
          <w:szCs w:val="24"/>
          <w:highlight w:val="none"/>
          <w:u w:val="single"/>
          <w:shd w:val="pct10" w:color="auto" w:fill="FFFFFF"/>
          <w:lang w:val="en-US" w:eastAsia="zh-CN"/>
        </w:rPr>
        <w:t>80%</w:t>
      </w:r>
      <w:r>
        <w:rPr>
          <w:rFonts w:ascii="宋体" w:hAnsi="宋体" w:eastAsia="宋体"/>
          <w:sz w:val="24"/>
          <w:szCs w:val="24"/>
          <w:highlight w:val="none"/>
        </w:rPr>
        <w:t>计取支付。</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 xml:space="preserve">4.2.2 </w:t>
      </w:r>
      <w:r>
        <w:rPr>
          <w:rFonts w:hint="eastAsia" w:ascii="宋体" w:hAnsi="宋体" w:eastAsia="宋体"/>
          <w:sz w:val="24"/>
          <w:szCs w:val="24"/>
          <w:highlight w:val="none"/>
        </w:rPr>
        <w:t>采购</w:t>
      </w:r>
      <w:r>
        <w:rPr>
          <w:rFonts w:ascii="宋体" w:hAnsi="宋体" w:eastAsia="宋体"/>
          <w:sz w:val="24"/>
          <w:szCs w:val="24"/>
          <w:highlight w:val="none"/>
        </w:rPr>
        <w:t>代理服务费计算方法详见下表：</w:t>
      </w:r>
    </w:p>
    <w:p>
      <w:pPr>
        <w:adjustRightInd w:val="0"/>
        <w:snapToGrid w:val="0"/>
        <w:spacing w:line="360" w:lineRule="auto"/>
        <w:jc w:val="center"/>
        <w:rPr>
          <w:rFonts w:ascii="宋体" w:hAnsi="宋体" w:eastAsia="宋体"/>
          <w:b/>
          <w:bCs/>
          <w:sz w:val="24"/>
          <w:szCs w:val="24"/>
          <w:highlight w:val="none"/>
        </w:rPr>
      </w:pPr>
      <w:r>
        <w:rPr>
          <w:rFonts w:hint="eastAsia" w:ascii="宋体" w:hAnsi="宋体" w:eastAsia="宋体"/>
          <w:b/>
          <w:bCs/>
          <w:sz w:val="24"/>
          <w:szCs w:val="24"/>
          <w:highlight w:val="none"/>
        </w:rPr>
        <w:t>招标采购代理项目服务收费标准一览表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1680"/>
        <w:gridCol w:w="168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tcBorders>
              <w:tl2br w:val="single" w:color="auto" w:sz="4" w:space="0"/>
            </w:tcBorders>
            <w:shd w:val="clear" w:color="auto" w:fill="BEBEBE" w:themeFill="background1" w:themeFillShade="BF"/>
            <w:vAlign w:val="center"/>
          </w:tcPr>
          <w:p>
            <w:pPr>
              <w:jc w:val="right"/>
              <w:rPr>
                <w:rFonts w:ascii="宋体" w:hAnsi="宋体" w:eastAsia="宋体"/>
                <w:bCs/>
                <w:sz w:val="24"/>
                <w:szCs w:val="24"/>
                <w:highlight w:val="none"/>
              </w:rPr>
            </w:pPr>
            <w:r>
              <w:rPr>
                <w:rFonts w:hint="eastAsia" w:ascii="宋体" w:hAnsi="宋体" w:eastAsia="宋体"/>
                <w:bCs/>
                <w:sz w:val="24"/>
                <w:szCs w:val="24"/>
                <w:highlight w:val="none"/>
              </w:rPr>
              <w:t>费率</w:t>
            </w:r>
          </w:p>
          <w:p>
            <w:pPr>
              <w:jc w:val="left"/>
              <w:rPr>
                <w:rFonts w:ascii="宋体" w:hAnsi="宋体" w:eastAsia="宋体"/>
                <w:bCs/>
                <w:sz w:val="24"/>
                <w:szCs w:val="24"/>
                <w:highlight w:val="none"/>
              </w:rPr>
            </w:pPr>
            <w:r>
              <w:rPr>
                <w:rFonts w:hint="eastAsia" w:ascii="宋体" w:hAnsi="宋体" w:eastAsia="宋体"/>
                <w:bCs/>
                <w:sz w:val="24"/>
                <w:szCs w:val="24"/>
                <w:highlight w:val="none"/>
              </w:rPr>
              <w:t>中标金额</w:t>
            </w:r>
          </w:p>
        </w:tc>
        <w:tc>
          <w:tcPr>
            <w:tcW w:w="921" w:type="pct"/>
            <w:shd w:val="clear" w:color="auto" w:fill="BEBEBE" w:themeFill="background1" w:themeFillShade="BF"/>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货物招标</w:t>
            </w:r>
          </w:p>
        </w:tc>
        <w:tc>
          <w:tcPr>
            <w:tcW w:w="921" w:type="pct"/>
            <w:shd w:val="clear" w:color="auto" w:fill="BEBEBE" w:themeFill="background1" w:themeFillShade="BF"/>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服务招标</w:t>
            </w:r>
          </w:p>
        </w:tc>
        <w:tc>
          <w:tcPr>
            <w:tcW w:w="921" w:type="pct"/>
            <w:shd w:val="clear" w:color="auto" w:fill="BEBEBE" w:themeFill="background1" w:themeFillShade="BF"/>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100万元以下</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1.5%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1.5%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100～500万元</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1.1%</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0.8%</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500～1000万元</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0.8%</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0.45%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1000～5000万元</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0.25%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5000万元～1亿元</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0.25%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0.1%</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1～5亿元</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0.05%</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0.05%</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5～10亿元</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0.035%</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0.035%</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10～50亿元</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0.008%</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0.008%</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50～100亿元</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0.006%</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0.006%</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100亿以上</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0.004%</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0.004%</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招标代理服务费最高限额</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350万</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300万</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450万</w:t>
            </w:r>
          </w:p>
        </w:tc>
      </w:tr>
    </w:tbl>
    <w:p>
      <w:pPr>
        <w:spacing w:line="360" w:lineRule="auto"/>
        <w:jc w:val="left"/>
        <w:rPr>
          <w:rFonts w:ascii="宋体" w:hAnsi="宋体" w:eastAsia="宋体"/>
          <w:bCs/>
          <w:sz w:val="24"/>
          <w:szCs w:val="24"/>
          <w:highlight w:val="none"/>
        </w:rPr>
      </w:pPr>
      <w:r>
        <w:rPr>
          <w:rFonts w:hint="eastAsia" w:ascii="宋体" w:hAnsi="宋体" w:eastAsia="宋体"/>
          <w:bCs/>
          <w:sz w:val="24"/>
          <w:szCs w:val="24"/>
          <w:highlight w:val="none"/>
        </w:rPr>
        <w:t>注：例如某工程招标代理业务中标金额为</w:t>
      </w:r>
      <w:r>
        <w:rPr>
          <w:rFonts w:ascii="宋体" w:hAnsi="宋体" w:eastAsia="宋体"/>
          <w:bCs/>
          <w:sz w:val="24"/>
          <w:szCs w:val="24"/>
          <w:highlight w:val="none"/>
        </w:rPr>
        <w:t>6000</w:t>
      </w:r>
      <w:r>
        <w:rPr>
          <w:rFonts w:hint="eastAsia" w:ascii="宋体" w:hAnsi="宋体" w:eastAsia="宋体"/>
          <w:bCs/>
          <w:sz w:val="24"/>
          <w:szCs w:val="24"/>
          <w:highlight w:val="none"/>
        </w:rPr>
        <w:t>万元，计算招标代理服务收费收费标准金额如下：</w:t>
      </w:r>
    </w:p>
    <w:p>
      <w:pPr>
        <w:spacing w:line="360" w:lineRule="auto"/>
        <w:ind w:firstLine="480" w:firstLineChars="200"/>
        <w:jc w:val="left"/>
        <w:rPr>
          <w:rFonts w:ascii="宋体" w:hAnsi="宋体" w:eastAsia="宋体"/>
          <w:bCs/>
          <w:sz w:val="24"/>
          <w:szCs w:val="24"/>
          <w:highlight w:val="none"/>
        </w:rPr>
      </w:pPr>
      <w:r>
        <w:rPr>
          <w:rFonts w:ascii="宋体" w:hAnsi="宋体" w:eastAsia="宋体"/>
          <w:bCs/>
          <w:sz w:val="24"/>
          <w:szCs w:val="24"/>
          <w:highlight w:val="none"/>
        </w:rPr>
        <w:t>100</w:t>
      </w:r>
      <w:r>
        <w:rPr>
          <w:rFonts w:hint="eastAsia" w:ascii="宋体" w:hAnsi="宋体" w:eastAsia="宋体"/>
          <w:bCs/>
          <w:sz w:val="24"/>
          <w:szCs w:val="24"/>
          <w:highlight w:val="none"/>
        </w:rPr>
        <w:t>万元×</w:t>
      </w:r>
      <w:r>
        <w:rPr>
          <w:rFonts w:ascii="宋体" w:hAnsi="宋体" w:eastAsia="宋体"/>
          <w:bCs/>
          <w:sz w:val="24"/>
          <w:szCs w:val="24"/>
          <w:highlight w:val="none"/>
        </w:rPr>
        <w:t>1.0%=1</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w:t>
      </w:r>
      <w:r>
        <w:rPr>
          <w:rFonts w:ascii="宋体" w:hAnsi="宋体" w:eastAsia="宋体"/>
          <w:bCs/>
          <w:sz w:val="24"/>
          <w:szCs w:val="24"/>
          <w:highlight w:val="none"/>
        </w:rPr>
        <w:t>500-100</w:t>
      </w:r>
      <w:r>
        <w:rPr>
          <w:rFonts w:hint="eastAsia" w:ascii="宋体" w:hAnsi="宋体" w:eastAsia="宋体"/>
          <w:bCs/>
          <w:sz w:val="24"/>
          <w:szCs w:val="24"/>
          <w:highlight w:val="none"/>
        </w:rPr>
        <w:t>）万元×</w:t>
      </w:r>
      <w:r>
        <w:rPr>
          <w:rFonts w:ascii="宋体" w:hAnsi="宋体" w:eastAsia="宋体"/>
          <w:bCs/>
          <w:sz w:val="24"/>
          <w:szCs w:val="24"/>
          <w:highlight w:val="none"/>
        </w:rPr>
        <w:t>0.7%=2.8</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w:t>
      </w:r>
      <w:r>
        <w:rPr>
          <w:rFonts w:ascii="宋体" w:hAnsi="宋体" w:eastAsia="宋体"/>
          <w:bCs/>
          <w:sz w:val="24"/>
          <w:szCs w:val="24"/>
          <w:highlight w:val="none"/>
        </w:rPr>
        <w:t>1000-500</w:t>
      </w:r>
      <w:r>
        <w:rPr>
          <w:rFonts w:hint="eastAsia" w:ascii="宋体" w:hAnsi="宋体" w:eastAsia="宋体"/>
          <w:bCs/>
          <w:sz w:val="24"/>
          <w:szCs w:val="24"/>
          <w:highlight w:val="none"/>
        </w:rPr>
        <w:t>）×</w:t>
      </w:r>
      <w:r>
        <w:rPr>
          <w:rFonts w:ascii="宋体" w:hAnsi="宋体" w:eastAsia="宋体"/>
          <w:bCs/>
          <w:sz w:val="24"/>
          <w:szCs w:val="24"/>
          <w:highlight w:val="none"/>
        </w:rPr>
        <w:t>0.55%=2.75</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w:t>
      </w:r>
      <w:r>
        <w:rPr>
          <w:rFonts w:ascii="宋体" w:hAnsi="宋体" w:eastAsia="宋体"/>
          <w:bCs/>
          <w:sz w:val="24"/>
          <w:szCs w:val="24"/>
          <w:highlight w:val="none"/>
        </w:rPr>
        <w:t>5000-1000</w:t>
      </w:r>
      <w:r>
        <w:rPr>
          <w:rFonts w:hint="eastAsia" w:ascii="宋体" w:hAnsi="宋体" w:eastAsia="宋体"/>
          <w:bCs/>
          <w:sz w:val="24"/>
          <w:szCs w:val="24"/>
          <w:highlight w:val="none"/>
        </w:rPr>
        <w:t>）×</w:t>
      </w:r>
      <w:r>
        <w:rPr>
          <w:rFonts w:ascii="宋体" w:hAnsi="宋体" w:eastAsia="宋体"/>
          <w:bCs/>
          <w:sz w:val="24"/>
          <w:szCs w:val="24"/>
          <w:highlight w:val="none"/>
        </w:rPr>
        <w:t>0.35%=14</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w:t>
      </w:r>
      <w:r>
        <w:rPr>
          <w:rFonts w:ascii="宋体" w:hAnsi="宋体" w:eastAsia="宋体"/>
          <w:bCs/>
          <w:sz w:val="24"/>
          <w:szCs w:val="24"/>
          <w:highlight w:val="none"/>
        </w:rPr>
        <w:t>6000-5000</w:t>
      </w:r>
      <w:r>
        <w:rPr>
          <w:rFonts w:hint="eastAsia" w:ascii="宋体" w:hAnsi="宋体" w:eastAsia="宋体"/>
          <w:bCs/>
          <w:sz w:val="24"/>
          <w:szCs w:val="24"/>
          <w:highlight w:val="none"/>
        </w:rPr>
        <w:t>）×</w:t>
      </w:r>
      <w:r>
        <w:rPr>
          <w:rFonts w:ascii="宋体" w:hAnsi="宋体" w:eastAsia="宋体"/>
          <w:bCs/>
          <w:sz w:val="24"/>
          <w:szCs w:val="24"/>
          <w:highlight w:val="none"/>
        </w:rPr>
        <w:t>0.2%=2</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合计收费</w:t>
      </w:r>
      <w:r>
        <w:rPr>
          <w:rFonts w:ascii="宋体" w:hAnsi="宋体" w:eastAsia="宋体"/>
          <w:bCs/>
          <w:sz w:val="24"/>
          <w:szCs w:val="24"/>
          <w:highlight w:val="none"/>
        </w:rPr>
        <w:t>=1+2.8+2.75+14+2=22.55</w:t>
      </w:r>
      <w:r>
        <w:rPr>
          <w:rFonts w:hint="eastAsia" w:ascii="宋体" w:hAnsi="宋体" w:eastAsia="宋体"/>
          <w:bCs/>
          <w:sz w:val="24"/>
          <w:szCs w:val="24"/>
          <w:highlight w:val="none"/>
        </w:rPr>
        <w:t>（万元）</w:t>
      </w:r>
    </w:p>
    <w:p>
      <w:pPr>
        <w:adjustRightInd w:val="0"/>
        <w:snapToGrid w:val="0"/>
        <w:spacing w:line="360" w:lineRule="auto"/>
        <w:ind w:left="720" w:hanging="720" w:hangingChars="300"/>
        <w:rPr>
          <w:rFonts w:hint="eastAsia" w:ascii="宋体" w:hAnsi="宋体" w:eastAsia="宋体"/>
          <w:sz w:val="24"/>
          <w:szCs w:val="24"/>
          <w:highlight w:val="none"/>
        </w:rPr>
      </w:pPr>
      <w:bookmarkStart w:id="30" w:name="_Hlk64549284"/>
      <w:r>
        <w:rPr>
          <w:rFonts w:ascii="宋体" w:hAnsi="宋体" w:eastAsia="宋体"/>
          <w:sz w:val="24"/>
          <w:szCs w:val="24"/>
          <w:highlight w:val="none"/>
        </w:rPr>
        <w:t xml:space="preserve">4.2.3 </w:t>
      </w:r>
      <w:r>
        <w:rPr>
          <w:rFonts w:hint="eastAsia" w:ascii="宋体" w:hAnsi="宋体" w:eastAsia="宋体"/>
          <w:sz w:val="24"/>
          <w:szCs w:val="24"/>
          <w:highlight w:val="none"/>
        </w:rPr>
        <w:t>中标人在领取中标通知书时一次性付清</w:t>
      </w:r>
      <w:r>
        <w:rPr>
          <w:rFonts w:ascii="宋体" w:hAnsi="宋体" w:eastAsia="宋体"/>
          <w:sz w:val="24"/>
          <w:szCs w:val="24"/>
          <w:highlight w:val="none"/>
        </w:rPr>
        <w:t>本项目招标代理服务费</w:t>
      </w:r>
      <w:r>
        <w:rPr>
          <w:rFonts w:hint="eastAsia" w:ascii="宋体" w:hAnsi="宋体" w:eastAsia="宋体" w:cstheme="minorBidi"/>
          <w:kern w:val="2"/>
          <w:sz w:val="24"/>
          <w:szCs w:val="24"/>
          <w:highlight w:val="none"/>
          <w:lang w:val="en-US" w:eastAsia="zh-CN" w:bidi="ar-SA"/>
        </w:rPr>
        <w:t>，服务费金额不足3000元的按3000元收取</w:t>
      </w:r>
      <w:r>
        <w:rPr>
          <w:rFonts w:hint="eastAsia" w:ascii="宋体" w:hAnsi="宋体" w:eastAsia="宋体"/>
          <w:sz w:val="24"/>
          <w:szCs w:val="24"/>
          <w:highlight w:val="none"/>
        </w:rPr>
        <w:t>。</w:t>
      </w:r>
    </w:p>
    <w:p>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heme="minorBidi"/>
          <w:kern w:val="2"/>
          <w:sz w:val="24"/>
          <w:szCs w:val="24"/>
          <w:highlight w:val="none"/>
          <w:lang w:val="en-US" w:eastAsia="zh-CN" w:bidi="ar-SA"/>
        </w:rPr>
      </w:pPr>
      <w:r>
        <w:rPr>
          <w:rFonts w:hint="eastAsia" w:ascii="宋体" w:hAnsi="宋体" w:eastAsia="宋体" w:cstheme="minorBidi"/>
          <w:kern w:val="2"/>
          <w:sz w:val="24"/>
          <w:szCs w:val="24"/>
          <w:highlight w:val="none"/>
          <w:lang w:val="en-US" w:eastAsia="zh-CN" w:bidi="ar-SA"/>
        </w:rPr>
        <w:t>开户银行：中国工商银行股份有限公司武汉徐家棚支行</w:t>
      </w:r>
    </w:p>
    <w:p>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heme="minorBidi"/>
          <w:kern w:val="2"/>
          <w:sz w:val="24"/>
          <w:szCs w:val="24"/>
          <w:highlight w:val="none"/>
          <w:lang w:val="en-US" w:eastAsia="zh-CN" w:bidi="ar-SA"/>
        </w:rPr>
      </w:pPr>
      <w:r>
        <w:rPr>
          <w:rFonts w:hint="eastAsia" w:ascii="宋体" w:hAnsi="宋体" w:eastAsia="宋体" w:cstheme="minorBidi"/>
          <w:kern w:val="2"/>
          <w:sz w:val="24"/>
          <w:szCs w:val="24"/>
          <w:highlight w:val="none"/>
          <w:lang w:val="en-US" w:eastAsia="zh-CN" w:bidi="ar-SA"/>
        </w:rPr>
        <w:t>帐户名称：武汉富纳工程咨询有限公司</w:t>
      </w:r>
    </w:p>
    <w:p>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heme="minorBidi"/>
          <w:kern w:val="2"/>
          <w:sz w:val="24"/>
          <w:szCs w:val="24"/>
          <w:highlight w:val="none"/>
          <w:lang w:val="en-US" w:eastAsia="zh-CN" w:bidi="ar-SA"/>
        </w:rPr>
      </w:pPr>
      <w:r>
        <w:rPr>
          <w:rFonts w:hint="eastAsia" w:ascii="宋体" w:hAnsi="宋体" w:eastAsia="宋体" w:cstheme="minorBidi"/>
          <w:kern w:val="2"/>
          <w:sz w:val="24"/>
          <w:szCs w:val="24"/>
          <w:highlight w:val="none"/>
          <w:lang w:val="en-US" w:eastAsia="zh-CN" w:bidi="ar-SA"/>
        </w:rPr>
        <w:t>帐号：3202006109200170550</w:t>
      </w:r>
    </w:p>
    <w:p>
      <w:pPr>
        <w:rPr>
          <w:highlight w:val="none"/>
        </w:rPr>
      </w:pPr>
      <w:r>
        <w:rPr>
          <w:rFonts w:ascii="宋体" w:hAnsi="宋体" w:eastAsia="宋体"/>
          <w:sz w:val="24"/>
          <w:szCs w:val="24"/>
          <w:highlight w:val="none"/>
        </w:rPr>
        <w:br w:type="page"/>
      </w:r>
    </w:p>
    <w:bookmarkEnd w:id="29"/>
    <w:bookmarkEnd w:id="30"/>
    <w:p>
      <w:pPr>
        <w:pStyle w:val="4"/>
        <w:jc w:val="center"/>
        <w:rPr>
          <w:sz w:val="32"/>
          <w:highlight w:val="none"/>
        </w:rPr>
      </w:pPr>
      <w:bookmarkStart w:id="31" w:name="_Toc65158782"/>
      <w:r>
        <w:rPr>
          <w:rFonts w:hint="eastAsia"/>
          <w:sz w:val="32"/>
          <w:highlight w:val="none"/>
        </w:rPr>
        <w:t>磋商文件</w:t>
      </w:r>
      <w:bookmarkEnd w:id="31"/>
    </w:p>
    <w:p>
      <w:pPr>
        <w:adjustRightInd w:val="0"/>
        <w:snapToGrid w:val="0"/>
        <w:spacing w:line="360" w:lineRule="auto"/>
        <w:rPr>
          <w:rFonts w:ascii="宋体" w:hAnsi="宋体" w:eastAsia="宋体"/>
          <w:sz w:val="24"/>
          <w:szCs w:val="24"/>
          <w:highlight w:val="none"/>
        </w:rPr>
      </w:pPr>
      <w:bookmarkStart w:id="32" w:name="_Hlk64620816"/>
      <w:r>
        <w:rPr>
          <w:rFonts w:ascii="宋体" w:hAnsi="宋体" w:eastAsia="宋体"/>
          <w:sz w:val="24"/>
          <w:szCs w:val="24"/>
          <w:highlight w:val="none"/>
        </w:rPr>
        <w:t>5.竞争性磋商文件的构成</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第一章</w:t>
      </w:r>
      <w:r>
        <w:rPr>
          <w:rFonts w:ascii="宋体" w:hAnsi="宋体" w:eastAsia="宋体"/>
          <w:sz w:val="24"/>
          <w:szCs w:val="24"/>
          <w:highlight w:val="none"/>
        </w:rPr>
        <w:t xml:space="preserve"> </w:t>
      </w:r>
      <w:r>
        <w:rPr>
          <w:rFonts w:hint="eastAsia" w:ascii="宋体" w:hAnsi="宋体" w:eastAsia="宋体"/>
          <w:sz w:val="24"/>
          <w:szCs w:val="24"/>
          <w:highlight w:val="none"/>
        </w:rPr>
        <w:t>竞争性磋商公告</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第二章</w:t>
      </w:r>
      <w:r>
        <w:rPr>
          <w:rFonts w:ascii="宋体" w:hAnsi="宋体" w:eastAsia="宋体"/>
          <w:sz w:val="24"/>
          <w:szCs w:val="24"/>
          <w:highlight w:val="none"/>
        </w:rPr>
        <w:t xml:space="preserve"> 供应商须知</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第三章</w:t>
      </w:r>
      <w:r>
        <w:rPr>
          <w:rFonts w:ascii="宋体" w:hAnsi="宋体" w:eastAsia="宋体"/>
          <w:sz w:val="24"/>
          <w:szCs w:val="24"/>
          <w:highlight w:val="none"/>
        </w:rPr>
        <w:t xml:space="preserve"> 项目需求书</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第四章</w:t>
      </w:r>
      <w:r>
        <w:rPr>
          <w:rFonts w:ascii="宋体" w:hAnsi="宋体" w:eastAsia="宋体"/>
          <w:sz w:val="24"/>
          <w:szCs w:val="24"/>
          <w:highlight w:val="none"/>
        </w:rPr>
        <w:t xml:space="preserve"> </w:t>
      </w:r>
      <w:r>
        <w:rPr>
          <w:rFonts w:hint="eastAsia" w:ascii="宋体" w:hAnsi="宋体" w:eastAsia="宋体"/>
          <w:sz w:val="24"/>
          <w:szCs w:val="24"/>
          <w:highlight w:val="none"/>
        </w:rPr>
        <w:t>评审标准及方法</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第五章</w:t>
      </w:r>
      <w:r>
        <w:rPr>
          <w:rFonts w:ascii="宋体" w:hAnsi="宋体" w:eastAsia="宋体"/>
          <w:sz w:val="24"/>
          <w:szCs w:val="24"/>
          <w:highlight w:val="none"/>
        </w:rPr>
        <w:t xml:space="preserve"> 合同书格式</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 xml:space="preserve">第六章 </w:t>
      </w:r>
      <w:r>
        <w:rPr>
          <w:rFonts w:ascii="宋体" w:hAnsi="宋体" w:eastAsia="宋体"/>
          <w:sz w:val="24"/>
          <w:szCs w:val="24"/>
          <w:highlight w:val="none"/>
        </w:rPr>
        <w:t>响应文件格式</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第七章</w:t>
      </w:r>
      <w:r>
        <w:rPr>
          <w:rFonts w:ascii="宋体" w:hAnsi="宋体" w:eastAsia="宋体"/>
          <w:sz w:val="24"/>
          <w:szCs w:val="24"/>
          <w:highlight w:val="none"/>
        </w:rPr>
        <w:t xml:space="preserve"> 相关附件及要求</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其他</w:t>
      </w:r>
      <w:r>
        <w:rPr>
          <w:rFonts w:ascii="宋体" w:hAnsi="宋体" w:eastAsia="宋体"/>
          <w:sz w:val="24"/>
          <w:szCs w:val="24"/>
          <w:highlight w:val="none"/>
        </w:rPr>
        <w:t xml:space="preserve"> 在</w:t>
      </w:r>
      <w:r>
        <w:rPr>
          <w:rFonts w:hint="eastAsia" w:ascii="宋体" w:hAnsi="宋体" w:eastAsia="宋体"/>
          <w:sz w:val="24"/>
          <w:szCs w:val="24"/>
          <w:highlight w:val="none"/>
        </w:rPr>
        <w:t>采购</w:t>
      </w:r>
      <w:r>
        <w:rPr>
          <w:rFonts w:ascii="宋体" w:hAnsi="宋体" w:eastAsia="宋体"/>
          <w:sz w:val="24"/>
          <w:szCs w:val="24"/>
          <w:highlight w:val="none"/>
        </w:rPr>
        <w:t>过程中由代理机构发出的修正和补充文件等</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6.竞争性磋商文件疑问的提交</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6.1 潜在供应商对竞争性磋商文件有疑问的，可以向代理机构提出询问，或在6.2规定的时间前以书面的形式向代理机构提交疑问函。</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6.2 潜在供应商在项目竞争性磋商公告期限届满之日起7个工作日内未对竞争性磋商文件提出疑问的，代理机构将视其认同竞争性磋商文件，在规定的时间后就竞争性磋商文件内容提出的疑问将不予受理。</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6.3 代理机构将组织采购人对潜在供应商所提交疑问以书面（或网上公告）的形式予以答复。必要时，代理机构将组织相关专家召开答疑会，并将会议内容以书面的形式发给每个领取竞争性磋商文件的潜在供应商（答复中不包括问题的来源）。</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7.竞争性磋商文件的澄清、修改</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7.1 代理机构和采购人可以对已发出的竞争性磋商文件进行必要的澄清或者修改，澄清或者修改将在原公告发布媒体上发布澄清公告。澄清或者修改的内容可能影响竞争性磋商响应文件编制的，代理机构和采购人将在</w:t>
      </w:r>
      <w:r>
        <w:rPr>
          <w:rFonts w:hint="eastAsia" w:ascii="宋体" w:hAnsi="宋体" w:eastAsia="宋体"/>
          <w:sz w:val="24"/>
          <w:szCs w:val="24"/>
          <w:highlight w:val="none"/>
        </w:rPr>
        <w:t>磋商响应文件递交</w:t>
      </w:r>
      <w:r>
        <w:rPr>
          <w:rFonts w:ascii="宋体" w:hAnsi="宋体" w:eastAsia="宋体"/>
          <w:sz w:val="24"/>
          <w:szCs w:val="24"/>
          <w:highlight w:val="none"/>
        </w:rPr>
        <w:t>截止时间至少5日前，以书面形式通知所有获取竞争性磋商文件的潜在供应商。</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7.2 为使潜在供应商有充足时间对竞争性磋商文件的澄清或者修改的内容进行研究和响应，代理机构和采购人可适当顺延提交竞争性磋商响应文件的截止时间，并以书面（或网上公告）的形式通知所有领取竞争性磋商文件的潜在供应商。</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7.3 澄清或者修改的内容为竞争性磋商文件的组成部分，并对潜在供应商具有约束力。潜在供应商在收到上述通知后，应立即以书面（或邮件）形式向代理机构确认收悉，否则视同默认收悉。</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8.现场考察</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8.1 采购人可以在竞争性磋商文件提供期限截止后，组织已获取竞争性磋商文件的潜在供应商现场考察。采购人组织现场考察的，潜在供应商可对项目现场及周围环境进行踏勘，以便获取有关编制竞争性磋商响应文件和签署合同所涉及现场的资料。</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8.2 采购人向潜在供应商提供有关现场的数据和资料。是采购人现有的能被潜在供应商利用的客观资料，采购人对潜在供应商依此作出的任何推论、理解和结论均不负责任。</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8.3 经采购人允许，潜在供应商可进入项目现场进行考察，但潜在供应商不得因此使采购人承担有关责任和蒙受损失。潜在供应商应自行承担现场考察的全部费用、责任和风险。</w:t>
      </w:r>
    </w:p>
    <w:bookmarkEnd w:id="32"/>
    <w:p>
      <w:pPr>
        <w:pStyle w:val="4"/>
        <w:jc w:val="center"/>
        <w:rPr>
          <w:sz w:val="32"/>
          <w:highlight w:val="none"/>
        </w:rPr>
      </w:pPr>
      <w:bookmarkStart w:id="33" w:name="_Toc65158783"/>
      <w:r>
        <w:rPr>
          <w:rFonts w:hint="eastAsia"/>
          <w:sz w:val="32"/>
          <w:highlight w:val="none"/>
        </w:rPr>
        <w:t>响应文件</w:t>
      </w:r>
      <w:bookmarkEnd w:id="33"/>
    </w:p>
    <w:p>
      <w:pPr>
        <w:adjustRightInd w:val="0"/>
        <w:snapToGrid w:val="0"/>
        <w:spacing w:line="360" w:lineRule="auto"/>
        <w:rPr>
          <w:rFonts w:ascii="宋体" w:hAnsi="宋体" w:eastAsia="宋体"/>
          <w:sz w:val="24"/>
          <w:szCs w:val="24"/>
          <w:highlight w:val="none"/>
        </w:rPr>
      </w:pPr>
      <w:bookmarkStart w:id="34" w:name="_Hlk64621486"/>
      <w:r>
        <w:rPr>
          <w:rFonts w:ascii="宋体" w:hAnsi="宋体" w:eastAsia="宋体"/>
          <w:sz w:val="24"/>
          <w:szCs w:val="24"/>
          <w:highlight w:val="none"/>
        </w:rPr>
        <w:t>9.</w:t>
      </w:r>
      <w:r>
        <w:rPr>
          <w:rFonts w:hint="eastAsia" w:ascii="宋体" w:hAnsi="宋体" w:eastAsia="宋体"/>
          <w:sz w:val="24"/>
          <w:szCs w:val="24"/>
          <w:highlight w:val="none"/>
        </w:rPr>
        <w:t>磋商</w:t>
      </w:r>
      <w:r>
        <w:rPr>
          <w:rFonts w:ascii="宋体" w:hAnsi="宋体" w:eastAsia="宋体"/>
          <w:sz w:val="24"/>
          <w:szCs w:val="24"/>
          <w:highlight w:val="none"/>
        </w:rPr>
        <w:t>的语言</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9.1 供应商提交的竞争性磋商响应文件以及供应商与代理机构或采购人就有关</w:t>
      </w:r>
      <w:r>
        <w:rPr>
          <w:rFonts w:hint="eastAsia" w:ascii="宋体" w:hAnsi="宋体" w:eastAsia="宋体"/>
          <w:sz w:val="24"/>
          <w:szCs w:val="24"/>
          <w:highlight w:val="none"/>
        </w:rPr>
        <w:t>磋商</w:t>
      </w:r>
      <w:r>
        <w:rPr>
          <w:rFonts w:ascii="宋体" w:hAnsi="宋体" w:eastAsia="宋体"/>
          <w:sz w:val="24"/>
          <w:szCs w:val="24"/>
          <w:highlight w:val="none"/>
        </w:rPr>
        <w:t>的所有来往函电均应使用中文。</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9.2 供应商提交的相关证明文件、资料或文献可以用另一种语言，但相应内容应附有中文译本，在解释竞争性磋商响应文件的相关内容时以中文译本为准。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10.竞争性磋商响应文件的构成</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10.1 供应商应完整的按竞争性磋商文件第</w:t>
      </w:r>
      <w:r>
        <w:rPr>
          <w:rFonts w:hint="eastAsia" w:ascii="宋体" w:hAnsi="宋体" w:eastAsia="宋体"/>
          <w:sz w:val="24"/>
          <w:szCs w:val="24"/>
          <w:highlight w:val="none"/>
        </w:rPr>
        <w:t>六</w:t>
      </w:r>
      <w:r>
        <w:rPr>
          <w:rFonts w:ascii="宋体" w:hAnsi="宋体" w:eastAsia="宋体"/>
          <w:sz w:val="24"/>
          <w:szCs w:val="24"/>
          <w:highlight w:val="none"/>
        </w:rPr>
        <w:t>章“响应文件格式”要求的格式及顺序编制竞争性磋商响应文件。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10.5 供应商应将本项目（或对应包，如有分包）各自单独编制一份竞争性磋商响应文件，未按照本要求递交的竞争性磋商响应文件将导致竞争性磋商响应文件被拒收。</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11.竞争性磋商响应文件编制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11.1 竞争性磋商文件有分包要求，供应商对竞争性磋商文件中多个包</w:t>
      </w:r>
      <w:r>
        <w:rPr>
          <w:rFonts w:hint="eastAsia" w:ascii="宋体" w:hAnsi="宋体" w:eastAsia="宋体"/>
          <w:sz w:val="24"/>
          <w:szCs w:val="24"/>
          <w:highlight w:val="none"/>
        </w:rPr>
        <w:t>参与磋商</w:t>
      </w:r>
      <w:r>
        <w:rPr>
          <w:rFonts w:ascii="宋体" w:hAnsi="宋体" w:eastAsia="宋体"/>
          <w:sz w:val="24"/>
          <w:szCs w:val="24"/>
          <w:highlight w:val="none"/>
        </w:rPr>
        <w:t>的，其竞争性磋商响应文件的编制应按每包要求分别装订和封装，并注明对应包号</w:t>
      </w:r>
      <w:r>
        <w:rPr>
          <w:rFonts w:hint="eastAsia" w:ascii="宋体" w:hAnsi="宋体" w:eastAsia="宋体"/>
          <w:sz w:val="24"/>
          <w:szCs w:val="24"/>
          <w:highlight w:val="none"/>
        </w:rPr>
        <w:t>。</w:t>
      </w:r>
      <w:r>
        <w:rPr>
          <w:rFonts w:ascii="宋体" w:hAnsi="宋体" w:eastAsia="宋体"/>
          <w:sz w:val="24"/>
          <w:szCs w:val="24"/>
          <w:highlight w:val="none"/>
          <w:shd w:val="pct10" w:color="auto" w:fill="FFFFFF"/>
        </w:rPr>
        <w:t>项目未进行分包的，对应格式章节需要填录包号的位置录入“/”或不填写</w:t>
      </w:r>
      <w:r>
        <w:rPr>
          <w:rFonts w:ascii="宋体" w:hAnsi="宋体" w:eastAsia="宋体"/>
          <w:sz w:val="24"/>
          <w:szCs w:val="24"/>
          <w:highlight w:val="none"/>
        </w:rPr>
        <w:t>。</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11.2 供应商应当对竞争性磋商响应文件进行不可拆卸式装订，对未经装订的磋商函可能发生的文件散落或缺损，由此产生的后果及责任由供应商自行承担。</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11.3 供应商应按照竞争性磋商文件第六章“响应文件格式”提供的《磋商函》、《报价一览表》、《报价明细表》</w:t>
      </w:r>
      <w:r>
        <w:rPr>
          <w:rFonts w:hint="eastAsia" w:ascii="宋体" w:hAnsi="宋体" w:eastAsia="宋体"/>
          <w:sz w:val="24"/>
          <w:szCs w:val="24"/>
          <w:highlight w:val="none"/>
        </w:rPr>
        <w:t>（如有）</w:t>
      </w:r>
      <w:r>
        <w:rPr>
          <w:rFonts w:ascii="宋体" w:hAnsi="宋体" w:eastAsia="宋体"/>
          <w:sz w:val="24"/>
          <w:szCs w:val="24"/>
          <w:highlight w:val="none"/>
        </w:rPr>
        <w:t>、《法定代表人资格证明书》、《法定代表人授权委托书》等格式、要求、规定来编制竞争性磋商响应文件。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11.4 供应商应对竞争性磋商响应文件中所提供资料的真实性负责，若有虚假，将依法承担相应责任。供应商须接受代理机构对其中任何资料进一步核实的要求。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11.5 因供应商竞争性磋商响应文件填报的内容不详，或没有提供竞争性磋商文件中所要求的全部资料及数据等，由此产生的后果及责任由供应商自行承担。</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11.6 竞争性磋商响应文件用纸应统一为A4规格（图纸除外）。</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12.磋商报价</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12.1 供应商所提供的服务均以人民币计价。</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12.2 供应商应按照第三章“</w:t>
      </w:r>
      <w:r>
        <w:rPr>
          <w:rFonts w:hint="eastAsia" w:ascii="宋体" w:hAnsi="宋体" w:eastAsia="宋体"/>
          <w:sz w:val="24"/>
          <w:szCs w:val="24"/>
          <w:highlight w:val="none"/>
        </w:rPr>
        <w:t>项目需求书</w:t>
      </w:r>
      <w:r>
        <w:rPr>
          <w:rFonts w:ascii="宋体" w:hAnsi="宋体" w:eastAsia="宋体"/>
          <w:sz w:val="24"/>
          <w:szCs w:val="24"/>
          <w:highlight w:val="none"/>
        </w:rPr>
        <w:t>”规定的服务内容、责任范围以及合同条款进行报价。并按照《报价一览表》和《报价明细表》</w:t>
      </w:r>
      <w:r>
        <w:rPr>
          <w:rFonts w:hint="eastAsia" w:ascii="宋体" w:hAnsi="宋体" w:eastAsia="宋体"/>
          <w:sz w:val="24"/>
          <w:szCs w:val="24"/>
          <w:highlight w:val="none"/>
        </w:rPr>
        <w:t>（如有）</w:t>
      </w:r>
      <w:r>
        <w:rPr>
          <w:rFonts w:ascii="宋体" w:hAnsi="宋体" w:eastAsia="宋体"/>
          <w:sz w:val="24"/>
          <w:szCs w:val="24"/>
          <w:highlight w:val="none"/>
        </w:rPr>
        <w:t>的格式报出分项价格和</w:t>
      </w:r>
      <w:r>
        <w:rPr>
          <w:rFonts w:hint="eastAsia" w:ascii="宋体" w:hAnsi="宋体" w:eastAsia="宋体"/>
          <w:sz w:val="24"/>
          <w:szCs w:val="24"/>
          <w:highlight w:val="none"/>
        </w:rPr>
        <w:t>磋商</w:t>
      </w:r>
      <w:r>
        <w:rPr>
          <w:rFonts w:ascii="宋体" w:hAnsi="宋体" w:eastAsia="宋体"/>
          <w:sz w:val="24"/>
          <w:szCs w:val="24"/>
          <w:highlight w:val="none"/>
        </w:rPr>
        <w:t>总价。报价上的优惠应体现在各分项报价中，</w:t>
      </w:r>
      <w:r>
        <w:rPr>
          <w:rFonts w:hint="eastAsia" w:ascii="宋体" w:hAnsi="宋体" w:eastAsia="宋体"/>
          <w:sz w:val="24"/>
          <w:szCs w:val="24"/>
          <w:highlight w:val="none"/>
        </w:rPr>
        <w:t>磋商</w:t>
      </w:r>
      <w:r>
        <w:rPr>
          <w:rFonts w:ascii="宋体" w:hAnsi="宋体" w:eastAsia="宋体"/>
          <w:sz w:val="24"/>
          <w:szCs w:val="24"/>
          <w:highlight w:val="none"/>
        </w:rPr>
        <w:t>总价应为优惠后的最终报价。</w:t>
      </w:r>
      <w:r>
        <w:rPr>
          <w:rFonts w:hint="eastAsia" w:ascii="宋体" w:hAnsi="宋体" w:eastAsia="宋体"/>
          <w:sz w:val="24"/>
          <w:szCs w:val="24"/>
          <w:highlight w:val="none"/>
        </w:rPr>
        <w:t>磋商</w:t>
      </w:r>
      <w:r>
        <w:rPr>
          <w:rFonts w:ascii="宋体" w:hAnsi="宋体" w:eastAsia="宋体"/>
          <w:sz w:val="24"/>
          <w:szCs w:val="24"/>
          <w:highlight w:val="none"/>
        </w:rPr>
        <w:t>总价中不得包含竞争性磋商文件要求以外的内容，否则，在评审时不予核减。</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12.3 《报价明细表》填写时应响应下列要求：</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12.3.1 应包括所有根据合同或其他原因由供应商支付的款项、费用；</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12.3.2 应包含货物运至目的地的运输、保险和伴随服务的有关费用；</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12.3.3 应详细提供《报价明细表》等内容，否则按照无效响应处理。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12.4 每一种规格的服务只允许有一个报价，否则按照无效</w:t>
      </w:r>
      <w:r>
        <w:rPr>
          <w:rFonts w:hint="eastAsia" w:ascii="宋体" w:hAnsi="宋体" w:eastAsia="宋体"/>
          <w:sz w:val="24"/>
          <w:szCs w:val="24"/>
          <w:highlight w:val="none"/>
        </w:rPr>
        <w:t>响应</w:t>
      </w:r>
      <w:r>
        <w:rPr>
          <w:rFonts w:ascii="宋体" w:hAnsi="宋体" w:eastAsia="宋体"/>
          <w:sz w:val="24"/>
          <w:szCs w:val="24"/>
          <w:highlight w:val="none"/>
        </w:rPr>
        <w:t>处理。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12.5 供应商的</w:t>
      </w:r>
      <w:r>
        <w:rPr>
          <w:rFonts w:hint="eastAsia" w:ascii="宋体" w:hAnsi="宋体" w:eastAsia="宋体"/>
          <w:sz w:val="24"/>
          <w:szCs w:val="24"/>
          <w:highlight w:val="none"/>
        </w:rPr>
        <w:t>磋商</w:t>
      </w:r>
      <w:r>
        <w:rPr>
          <w:rFonts w:ascii="宋体" w:hAnsi="宋体" w:eastAsia="宋体"/>
          <w:sz w:val="24"/>
          <w:szCs w:val="24"/>
          <w:highlight w:val="none"/>
        </w:rPr>
        <w:t>总报价在合同执行过程中是固定不变的，不得以任何理由予以变更。故供应商的</w:t>
      </w:r>
      <w:r>
        <w:rPr>
          <w:rFonts w:hint="eastAsia" w:ascii="宋体" w:hAnsi="宋体" w:eastAsia="宋体"/>
          <w:sz w:val="24"/>
          <w:szCs w:val="24"/>
          <w:highlight w:val="none"/>
        </w:rPr>
        <w:t>磋商</w:t>
      </w:r>
      <w:r>
        <w:rPr>
          <w:rFonts w:ascii="宋体" w:hAnsi="宋体" w:eastAsia="宋体"/>
          <w:sz w:val="24"/>
          <w:szCs w:val="24"/>
          <w:highlight w:val="none"/>
        </w:rPr>
        <w:t>总报价应包含本</w:t>
      </w:r>
      <w:r>
        <w:rPr>
          <w:rFonts w:hint="eastAsia" w:ascii="宋体" w:hAnsi="宋体" w:eastAsia="宋体"/>
          <w:sz w:val="24"/>
          <w:szCs w:val="24"/>
          <w:highlight w:val="none"/>
        </w:rPr>
        <w:t>采购</w:t>
      </w:r>
      <w:r>
        <w:rPr>
          <w:rFonts w:ascii="宋体" w:hAnsi="宋体" w:eastAsia="宋体"/>
          <w:sz w:val="24"/>
          <w:szCs w:val="24"/>
          <w:highlight w:val="none"/>
        </w:rPr>
        <w:t>内容全部工作所需的一切费用，即</w:t>
      </w:r>
      <w:r>
        <w:rPr>
          <w:rFonts w:hint="eastAsia" w:ascii="宋体" w:hAnsi="宋体" w:eastAsia="宋体"/>
          <w:sz w:val="24"/>
          <w:szCs w:val="24"/>
          <w:highlight w:val="none"/>
        </w:rPr>
        <w:t>磋商</w:t>
      </w:r>
      <w:r>
        <w:rPr>
          <w:rFonts w:ascii="宋体" w:hAnsi="宋体" w:eastAsia="宋体"/>
          <w:sz w:val="24"/>
          <w:szCs w:val="24"/>
          <w:highlight w:val="none"/>
        </w:rPr>
        <w:t>总报价为“交钥匙”价。对在合同实施过程中可能发生的其它费用（如：增加耗材、材料涨价、人工、运输成本增加等因素），采购人不予支付。</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12.6 对于竞争性磋商文件未列明，而供应商认为必需的费用也需列入其磋商总价。在合同实施时，采购人将不予支付供应商没有列入的项目费用，并认为此项目的费用已包括在其磋商总价中。</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12.7 供应商应对项目</w:t>
      </w:r>
      <w:r>
        <w:rPr>
          <w:rFonts w:hint="eastAsia" w:ascii="宋体" w:hAnsi="宋体" w:eastAsia="宋体"/>
          <w:sz w:val="24"/>
          <w:szCs w:val="24"/>
          <w:highlight w:val="none"/>
        </w:rPr>
        <w:t>采购</w:t>
      </w:r>
      <w:r>
        <w:rPr>
          <w:rFonts w:ascii="宋体" w:hAnsi="宋体" w:eastAsia="宋体"/>
          <w:sz w:val="24"/>
          <w:szCs w:val="24"/>
          <w:highlight w:val="none"/>
        </w:rPr>
        <w:t>范围内的全部内容进行报价，不得缺、漏项或只投其中的部分内容的，否则按照无效响应处理。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13.备选方案</w:t>
      </w:r>
    </w:p>
    <w:p>
      <w:pPr>
        <w:adjustRightInd w:val="0"/>
        <w:snapToGrid w:val="0"/>
        <w:spacing w:line="360" w:lineRule="auto"/>
        <w:ind w:firstLine="360" w:firstLineChars="150"/>
        <w:rPr>
          <w:rFonts w:ascii="宋体" w:hAnsi="宋体" w:eastAsia="宋体"/>
          <w:sz w:val="24"/>
          <w:szCs w:val="24"/>
          <w:highlight w:val="none"/>
        </w:rPr>
      </w:pPr>
      <w:r>
        <w:rPr>
          <w:rFonts w:hint="eastAsia" w:ascii="宋体" w:hAnsi="宋体" w:eastAsia="宋体"/>
          <w:sz w:val="24"/>
          <w:szCs w:val="24"/>
          <w:highlight w:val="none"/>
        </w:rPr>
        <w:t>只允许供应商提供一个磋商方案（竞争性磋商文件中要求提供备选方案的除外），否则按照无效响应处理。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14.</w:t>
      </w:r>
      <w:r>
        <w:rPr>
          <w:rFonts w:hint="eastAsia" w:ascii="宋体" w:hAnsi="宋体" w:eastAsia="宋体"/>
          <w:sz w:val="24"/>
          <w:szCs w:val="24"/>
          <w:highlight w:val="none"/>
        </w:rPr>
        <w:t>成交</w:t>
      </w:r>
      <w:r>
        <w:rPr>
          <w:rFonts w:ascii="宋体" w:hAnsi="宋体" w:eastAsia="宋体"/>
          <w:sz w:val="24"/>
          <w:szCs w:val="24"/>
          <w:highlight w:val="none"/>
        </w:rPr>
        <w:t>后分包</w:t>
      </w:r>
    </w:p>
    <w:p>
      <w:pPr>
        <w:adjustRightInd w:val="0"/>
        <w:snapToGrid w:val="0"/>
        <w:spacing w:line="360" w:lineRule="auto"/>
        <w:ind w:firstLine="360" w:firstLineChars="150"/>
        <w:rPr>
          <w:rFonts w:ascii="宋体" w:hAnsi="宋体" w:eastAsia="宋体"/>
          <w:sz w:val="24"/>
          <w:szCs w:val="24"/>
          <w:highlight w:val="none"/>
        </w:rPr>
      </w:pPr>
      <w:r>
        <w:rPr>
          <w:rFonts w:hint="eastAsia" w:ascii="宋体" w:hAnsi="宋体" w:eastAsia="宋体"/>
          <w:sz w:val="24"/>
          <w:szCs w:val="24"/>
          <w:highlight w:val="none"/>
        </w:rPr>
        <w:t>竞争性磋商文件规定项目非主体、非关键性工作成交后可以分包的，供应商拟在成交后将项目的非主体、非关键性工作分包，应当在竞争性磋商响应文件中载明具备相应资质条件的分包承担主体，分包承担主体不得再次分包。</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15.联合体</w:t>
      </w:r>
      <w:r>
        <w:rPr>
          <w:rFonts w:hint="eastAsia" w:ascii="宋体" w:hAnsi="宋体" w:eastAsia="宋体"/>
          <w:sz w:val="24"/>
          <w:szCs w:val="24"/>
          <w:highlight w:val="none"/>
        </w:rPr>
        <w:t>磋商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15.1 两个及以上供应商可以组成一个联合体，以一个供应商的身份共同参与</w:t>
      </w:r>
      <w:r>
        <w:rPr>
          <w:rFonts w:hint="eastAsia" w:ascii="宋体" w:hAnsi="宋体" w:eastAsia="宋体"/>
          <w:sz w:val="24"/>
          <w:szCs w:val="24"/>
          <w:highlight w:val="none"/>
        </w:rPr>
        <w:t>磋商</w:t>
      </w:r>
      <w:r>
        <w:rPr>
          <w:rFonts w:ascii="宋体" w:hAnsi="宋体" w:eastAsia="宋体"/>
          <w:sz w:val="24"/>
          <w:szCs w:val="24"/>
          <w:highlight w:val="none"/>
        </w:rPr>
        <w:t>。</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15.2 采取联合体形式</w:t>
      </w:r>
      <w:r>
        <w:rPr>
          <w:rFonts w:hint="eastAsia" w:ascii="宋体" w:hAnsi="宋体" w:eastAsia="宋体"/>
          <w:sz w:val="24"/>
          <w:szCs w:val="24"/>
          <w:highlight w:val="none"/>
        </w:rPr>
        <w:t>磋商</w:t>
      </w:r>
      <w:r>
        <w:rPr>
          <w:rFonts w:ascii="宋体" w:hAnsi="宋体" w:eastAsia="宋体"/>
          <w:sz w:val="24"/>
          <w:szCs w:val="24"/>
          <w:highlight w:val="none"/>
        </w:rPr>
        <w:t>的，联合体各方均应当符合政府采购法第二十二条第一款规定的条件。联合体的主体应完全满足项目供应商资格要求。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15.3 联合体各方之间应签订联合</w:t>
      </w:r>
      <w:r>
        <w:rPr>
          <w:rFonts w:hint="eastAsia" w:ascii="宋体" w:hAnsi="宋体" w:eastAsia="宋体"/>
          <w:sz w:val="24"/>
          <w:szCs w:val="24"/>
          <w:highlight w:val="none"/>
        </w:rPr>
        <w:t>体</w:t>
      </w:r>
      <w:r>
        <w:rPr>
          <w:rFonts w:ascii="宋体" w:hAnsi="宋体" w:eastAsia="宋体"/>
          <w:sz w:val="24"/>
          <w:szCs w:val="24"/>
          <w:highlight w:val="none"/>
        </w:rPr>
        <w:t>协议，明确约定联合体主体及各方承担的工作和相应的责任，其竞争性磋商响应文件中应提供联合</w:t>
      </w:r>
      <w:r>
        <w:rPr>
          <w:rFonts w:hint="eastAsia" w:ascii="宋体" w:hAnsi="宋体" w:eastAsia="宋体"/>
          <w:sz w:val="24"/>
          <w:szCs w:val="24"/>
          <w:highlight w:val="none"/>
        </w:rPr>
        <w:t>体</w:t>
      </w:r>
      <w:r>
        <w:rPr>
          <w:rFonts w:ascii="宋体" w:hAnsi="宋体" w:eastAsia="宋体"/>
          <w:sz w:val="24"/>
          <w:szCs w:val="24"/>
          <w:highlight w:val="none"/>
        </w:rPr>
        <w:t>协议。</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15.4 以联合体形式参加政府采购活动的，联合体各方不得再单独参加或者与其他供应商另外组成联合体参加同一合同项下的政府采购活动。</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15.5 联合体</w:t>
      </w:r>
      <w:r>
        <w:rPr>
          <w:rFonts w:hint="eastAsia" w:ascii="宋体" w:hAnsi="宋体" w:eastAsia="宋体"/>
          <w:sz w:val="24"/>
          <w:szCs w:val="24"/>
          <w:highlight w:val="none"/>
        </w:rPr>
        <w:t>磋商</w:t>
      </w:r>
      <w:r>
        <w:rPr>
          <w:rFonts w:ascii="宋体" w:hAnsi="宋体" w:eastAsia="宋体"/>
          <w:sz w:val="24"/>
          <w:szCs w:val="24"/>
          <w:highlight w:val="none"/>
        </w:rPr>
        <w:t>的，其竞争性磋商响应文件应由联合体所有成员或其各自正式书面授权的代表签署（盖章），以便对所有成员作为整体及作为个体均具有法律约束力。</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15.6 联合体成交的，联合体各方应当共同与采购人签订采购合同，就采购合同约定的事项对采购人承担连带责任，联合体主体单位负主要责任。</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15.7 联合体中有同类资质的供应商按照联合体分工承担相同工作的，应当按照资质等级较低的供应商确定资质等级。</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15.8 竞争性磋商文件供应商资格要求中未载明是否接受联合体的视同接受。</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15.9 以联合体形式参与</w:t>
      </w:r>
      <w:r>
        <w:rPr>
          <w:rFonts w:hint="eastAsia" w:ascii="宋体" w:hAnsi="宋体" w:eastAsia="宋体"/>
          <w:sz w:val="24"/>
          <w:szCs w:val="24"/>
          <w:highlight w:val="none"/>
        </w:rPr>
        <w:t>磋商</w:t>
      </w:r>
      <w:r>
        <w:rPr>
          <w:rFonts w:ascii="宋体" w:hAnsi="宋体" w:eastAsia="宋体"/>
          <w:sz w:val="24"/>
          <w:szCs w:val="24"/>
          <w:highlight w:val="none"/>
        </w:rPr>
        <w:t>的，其价格扣除相关规定详见第四章“评审标准及方法”。</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16.资格证明文件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16.1 供应商应按本节及第四章“</w:t>
      </w:r>
      <w:r>
        <w:rPr>
          <w:rFonts w:hint="eastAsia" w:ascii="宋体" w:hAnsi="宋体" w:eastAsia="宋体"/>
          <w:sz w:val="24"/>
          <w:szCs w:val="24"/>
          <w:highlight w:val="none"/>
        </w:rPr>
        <w:t>评审标准及方法</w:t>
      </w:r>
      <w:r>
        <w:rPr>
          <w:rFonts w:ascii="宋体" w:hAnsi="宋体" w:eastAsia="宋体"/>
          <w:sz w:val="24"/>
          <w:szCs w:val="24"/>
          <w:highlight w:val="none"/>
        </w:rPr>
        <w:t>”的要求，提供足以证明其符合项目“供应商资格要求”且成交后有能力履行合同的文件，并作为其竞争性磋商响应文件的组成部分。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16.2 资格证明文件应真实、合法，并就此承担相应法律责任。</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16.3 资格证明文件正本应为清晰影印件且加盖单位公章，否则按照无效响应处理。副本可为正本</w:t>
      </w:r>
      <w:r>
        <w:rPr>
          <w:rFonts w:hint="eastAsia" w:ascii="宋体" w:hAnsi="宋体" w:eastAsia="宋体"/>
          <w:sz w:val="24"/>
          <w:szCs w:val="24"/>
          <w:highlight w:val="none"/>
        </w:rPr>
        <w:t>盖章后</w:t>
      </w:r>
      <w:r>
        <w:rPr>
          <w:rFonts w:ascii="宋体" w:hAnsi="宋体" w:eastAsia="宋体"/>
          <w:sz w:val="24"/>
          <w:szCs w:val="24"/>
          <w:highlight w:val="none"/>
        </w:rPr>
        <w:t>的复印件,</w:t>
      </w:r>
      <w:r>
        <w:rPr>
          <w:rFonts w:hint="eastAsia" w:ascii="宋体" w:hAnsi="宋体" w:eastAsia="宋体"/>
          <w:sz w:val="24"/>
          <w:szCs w:val="24"/>
          <w:highlight w:val="none"/>
        </w:rPr>
        <w:t>同时</w:t>
      </w:r>
      <w:r>
        <w:rPr>
          <w:rFonts w:ascii="宋体" w:hAnsi="宋体" w:eastAsia="宋体"/>
          <w:sz w:val="24"/>
          <w:szCs w:val="24"/>
          <w:highlight w:val="none"/>
        </w:rPr>
        <w:t>应在副本封面加盖单位公章。</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16.4 资格证明文件内容详见第四章“资格审查方法及标准”中资格审查内容。</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17.</w:t>
      </w:r>
      <w:r>
        <w:rPr>
          <w:rFonts w:hint="eastAsia" w:ascii="宋体" w:hAnsi="宋体" w:eastAsia="宋体"/>
          <w:sz w:val="24"/>
          <w:szCs w:val="24"/>
          <w:highlight w:val="none"/>
        </w:rPr>
        <w:t>磋商</w:t>
      </w:r>
      <w:r>
        <w:rPr>
          <w:rFonts w:ascii="宋体" w:hAnsi="宋体" w:eastAsia="宋体"/>
          <w:sz w:val="24"/>
          <w:szCs w:val="24"/>
          <w:highlight w:val="none"/>
        </w:rPr>
        <w:t>有效期</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 xml:space="preserve">17.1 </w:t>
      </w:r>
      <w:r>
        <w:rPr>
          <w:rFonts w:hint="eastAsia" w:ascii="宋体" w:hAnsi="宋体" w:eastAsia="宋体"/>
          <w:sz w:val="24"/>
          <w:szCs w:val="24"/>
          <w:highlight w:val="none"/>
        </w:rPr>
        <w:t>磋商</w:t>
      </w:r>
      <w:r>
        <w:rPr>
          <w:rFonts w:ascii="宋体" w:hAnsi="宋体" w:eastAsia="宋体"/>
          <w:sz w:val="24"/>
          <w:szCs w:val="24"/>
          <w:highlight w:val="none"/>
        </w:rPr>
        <w:t>有效期详见本章“供应商须知前附表”中规定。竞争性磋商响应文件中承诺的</w:t>
      </w:r>
      <w:r>
        <w:rPr>
          <w:rFonts w:hint="eastAsia" w:ascii="宋体" w:hAnsi="宋体" w:eastAsia="宋体"/>
          <w:sz w:val="24"/>
          <w:szCs w:val="24"/>
          <w:highlight w:val="none"/>
        </w:rPr>
        <w:t>磋商</w:t>
      </w:r>
      <w:r>
        <w:rPr>
          <w:rFonts w:ascii="宋体" w:hAnsi="宋体" w:eastAsia="宋体"/>
          <w:sz w:val="24"/>
          <w:szCs w:val="24"/>
          <w:highlight w:val="none"/>
        </w:rPr>
        <w:t>有效期应当不少于竞争性磋商文件中载明的磋商有效期，否则按照无效响应处理。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17.2 特殊情况下，在原磋商有效期截止之前，代理机构或采购人可要求供应商延长磋商有效期。这种要求与答复均应以书面形式提交。供应商可拒绝代理机构或采购人的这种要求，但其</w:t>
      </w:r>
      <w:r>
        <w:rPr>
          <w:rFonts w:hint="eastAsia" w:ascii="宋体" w:hAnsi="宋体" w:eastAsia="宋体"/>
          <w:sz w:val="24"/>
          <w:szCs w:val="24"/>
          <w:highlight w:val="none"/>
        </w:rPr>
        <w:t>响应文件</w:t>
      </w:r>
      <w:r>
        <w:rPr>
          <w:rFonts w:ascii="宋体" w:hAnsi="宋体" w:eastAsia="宋体"/>
          <w:sz w:val="24"/>
          <w:szCs w:val="24"/>
          <w:highlight w:val="none"/>
        </w:rPr>
        <w:t>在原磋商有效期期满后将不再有效。同意延长磋商有效期的供应商不会被要求和允许修正其</w:t>
      </w:r>
      <w:r>
        <w:rPr>
          <w:rFonts w:hint="eastAsia" w:ascii="宋体" w:hAnsi="宋体" w:eastAsia="宋体"/>
          <w:sz w:val="24"/>
          <w:szCs w:val="24"/>
          <w:highlight w:val="none"/>
        </w:rPr>
        <w:t>所投</w:t>
      </w:r>
      <w:r>
        <w:rPr>
          <w:rFonts w:ascii="宋体" w:hAnsi="宋体" w:eastAsia="宋体"/>
          <w:sz w:val="24"/>
          <w:szCs w:val="24"/>
          <w:highlight w:val="none"/>
        </w:rPr>
        <w:t>内容。</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18.竞争性磋商响应文件的数量和签署</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18.1 供应商应按本章“供应商须知前附表”中规定的份数要求编制竞争性磋商响应文件。每套竞争性磋商响应文件应清楚地标明“正本”、“副本”。副本与正本不一致的，以正本为准。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18.2 竞争性磋商响应文件的正本应打印或用不褪色墨水书写，应由法定代表人或经其正式授权的代表签字或盖章。由被授权代表签字的，应以书面形式出具授权证明，其《法定代表人授权书》应附在竞争性磋商响应文件中。</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18.3 竞争性磋商响应文件中任何涂改和增删，应由法定代表人或经其正式授权的代表在旁边签字后方为有效。</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18.4 竞争性磋商文件中要求加盖公章及签字（签章）之处，竞争性磋商响应文件正本中应按要求提供加盖公章及签字（签章）的原件，否则按照无效响应处理。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19.竞争性磋商响应文件的密封和标记</w:t>
      </w:r>
    </w:p>
    <w:p>
      <w:pPr>
        <w:adjustRightInd w:val="0"/>
        <w:snapToGrid w:val="0"/>
        <w:spacing w:line="360" w:lineRule="auto"/>
        <w:ind w:left="600" w:hanging="600" w:hangingChars="250"/>
        <w:rPr>
          <w:rFonts w:ascii="宋体" w:hAnsi="宋体" w:eastAsia="宋体"/>
          <w:sz w:val="24"/>
          <w:szCs w:val="24"/>
          <w:highlight w:val="none"/>
        </w:rPr>
      </w:pPr>
      <w:bookmarkStart w:id="35" w:name="_Hlk64622016"/>
      <w:r>
        <w:rPr>
          <w:rFonts w:hint="eastAsia" w:ascii="宋体" w:hAnsi="宋体" w:eastAsia="宋体"/>
          <w:sz w:val="24"/>
          <w:szCs w:val="24"/>
          <w:highlight w:val="none"/>
        </w:rPr>
        <w:t>1</w:t>
      </w:r>
      <w:r>
        <w:rPr>
          <w:rFonts w:ascii="宋体" w:hAnsi="宋体" w:eastAsia="宋体"/>
          <w:sz w:val="24"/>
          <w:szCs w:val="24"/>
          <w:highlight w:val="none"/>
        </w:rPr>
        <w:t>9</w:t>
      </w:r>
      <w:r>
        <w:rPr>
          <w:rFonts w:hint="eastAsia" w:ascii="宋体" w:hAnsi="宋体" w:eastAsia="宋体"/>
          <w:sz w:val="24"/>
          <w:szCs w:val="24"/>
          <w:highlight w:val="none"/>
        </w:rPr>
        <w:t>.</w:t>
      </w:r>
      <w:r>
        <w:rPr>
          <w:rFonts w:ascii="宋体" w:hAnsi="宋体" w:eastAsia="宋体"/>
          <w:sz w:val="24"/>
          <w:szCs w:val="24"/>
          <w:highlight w:val="none"/>
        </w:rPr>
        <w:t>1</w:t>
      </w:r>
      <w:r>
        <w:rPr>
          <w:rFonts w:hint="eastAsia" w:ascii="宋体" w:hAnsi="宋体" w:eastAsia="宋体"/>
          <w:sz w:val="24"/>
          <w:szCs w:val="24"/>
          <w:highlight w:val="none"/>
        </w:rPr>
        <w:t xml:space="preserve"> 供应商应将本项目所投包（如有分包）单独编制一份竞争性磋商响应文件，每本竞争性磋商响应文件各自分开装订成不可拆卸式的，并在竞争性磋商响应文件封面上注明“正本”或“副本”字样。再将竞争性磋商响应文件正本和所有副本一起密封在一个封包内。</w:t>
      </w:r>
      <w:r>
        <w:rPr>
          <w:rFonts w:hint="eastAsia" w:ascii="宋体" w:hAnsi="宋体" w:eastAsia="宋体"/>
          <w:sz w:val="24"/>
          <w:szCs w:val="24"/>
          <w:highlight w:val="none"/>
          <w:shd w:val="pct10" w:color="auto" w:fill="FFFFFF"/>
        </w:rPr>
        <w:t>（封包1）</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19.2 供应商须将电子版竞争性磋商响应文件存档介质（U盘）也单独密封于一个封包内，并在封包上注明“电子版竞争性磋商响应文件”字样。</w:t>
      </w:r>
      <w:r>
        <w:rPr>
          <w:rFonts w:ascii="宋体" w:hAnsi="宋体" w:eastAsia="宋体"/>
          <w:sz w:val="24"/>
          <w:szCs w:val="24"/>
          <w:highlight w:val="none"/>
          <w:shd w:val="pct10" w:color="auto" w:fill="FFFFFF"/>
        </w:rPr>
        <w:t>（封包2）</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19.3 竞争性磋商文件如对相关证明资料有原件要求的，所有的原件以及原件清单也须一起密封于一个封包内，并在封包上注明“相关证明原件”字样。</w:t>
      </w:r>
      <w:r>
        <w:rPr>
          <w:rFonts w:ascii="宋体" w:hAnsi="宋体" w:eastAsia="宋体"/>
          <w:sz w:val="24"/>
          <w:szCs w:val="24"/>
          <w:highlight w:val="none"/>
          <w:shd w:val="pct10" w:color="auto" w:fill="FFFFFF"/>
        </w:rPr>
        <w:t>（封包3）</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19.4 所有封包上均须注明项目编号、项目名称、供应商名称以及“在（竞争性磋商文件中规定的</w:t>
      </w:r>
      <w:r>
        <w:rPr>
          <w:rFonts w:hint="eastAsia" w:ascii="宋体" w:hAnsi="宋体" w:eastAsia="宋体"/>
          <w:sz w:val="24"/>
          <w:szCs w:val="24"/>
          <w:highlight w:val="none"/>
        </w:rPr>
        <w:t>磋商</w:t>
      </w:r>
      <w:r>
        <w:rPr>
          <w:rFonts w:ascii="宋体" w:hAnsi="宋体" w:eastAsia="宋体"/>
          <w:sz w:val="24"/>
          <w:szCs w:val="24"/>
          <w:highlight w:val="none"/>
        </w:rPr>
        <w:t>日期和时间）之前不得启封”的字样，封口处加盖供应商公章。</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19.5 未按竞争性磋商文件要求</w:t>
      </w:r>
      <w:r>
        <w:rPr>
          <w:rFonts w:hint="eastAsia" w:ascii="宋体" w:hAnsi="宋体" w:eastAsia="宋体"/>
          <w:sz w:val="24"/>
          <w:szCs w:val="24"/>
          <w:highlight w:val="none"/>
        </w:rPr>
        <w:t>进行</w:t>
      </w:r>
      <w:r>
        <w:rPr>
          <w:rFonts w:ascii="宋体" w:hAnsi="宋体" w:eastAsia="宋体"/>
          <w:sz w:val="24"/>
          <w:szCs w:val="24"/>
          <w:highlight w:val="none"/>
        </w:rPr>
        <w:t>密封、标记或存在错误，代理机构对其误投或提前启封概不负责。</w:t>
      </w:r>
    </w:p>
    <w:bookmarkEnd w:id="35"/>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20.竞争性磋商响应文件递交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20.1 供应商应在不迟于竞争性磋商公告中规定的</w:t>
      </w:r>
      <w:r>
        <w:rPr>
          <w:rFonts w:hint="eastAsia" w:ascii="宋体" w:hAnsi="宋体" w:eastAsia="宋体"/>
          <w:sz w:val="24"/>
          <w:szCs w:val="24"/>
          <w:highlight w:val="none"/>
        </w:rPr>
        <w:t>竞争性磋商响应文件递交</w:t>
      </w:r>
      <w:r>
        <w:rPr>
          <w:rFonts w:ascii="宋体" w:hAnsi="宋体" w:eastAsia="宋体"/>
          <w:sz w:val="24"/>
          <w:szCs w:val="24"/>
          <w:highlight w:val="none"/>
        </w:rPr>
        <w:t>截止日期和时间将竞争性磋商响应文件密封递交至代理机构规定的</w:t>
      </w:r>
      <w:r>
        <w:rPr>
          <w:rFonts w:hint="eastAsia" w:ascii="宋体" w:hAnsi="宋体" w:eastAsia="宋体"/>
          <w:sz w:val="24"/>
          <w:szCs w:val="24"/>
          <w:highlight w:val="none"/>
        </w:rPr>
        <w:t>磋商</w:t>
      </w:r>
      <w:r>
        <w:rPr>
          <w:rFonts w:ascii="宋体" w:hAnsi="宋体" w:eastAsia="宋体"/>
          <w:sz w:val="24"/>
          <w:szCs w:val="24"/>
          <w:highlight w:val="none"/>
        </w:rPr>
        <w:t>地点。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20.2 代理机构拒收逾期送达或者未按竞争性磋商文件要求密封的竞争性磋商响应文件。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20.3 代理机构收到竞争性磋商响应文件后，应当如实记载竞争性磋商响应文件的送达时间和密封情况，签收保存，并向供应商出具签收回执。</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21.竞争性磋商响应文件的修改和撤回</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21.1 供应商在</w:t>
      </w:r>
      <w:r>
        <w:rPr>
          <w:rFonts w:hint="eastAsia" w:ascii="宋体" w:hAnsi="宋体" w:eastAsia="宋体"/>
          <w:sz w:val="24"/>
          <w:szCs w:val="24"/>
          <w:highlight w:val="none"/>
        </w:rPr>
        <w:t>竞争性磋商响应文件递交</w:t>
      </w:r>
      <w:r>
        <w:rPr>
          <w:rFonts w:ascii="宋体" w:hAnsi="宋体" w:eastAsia="宋体"/>
          <w:sz w:val="24"/>
          <w:szCs w:val="24"/>
          <w:highlight w:val="none"/>
        </w:rPr>
        <w:t>截止时间前，可以对所递交的竞争性磋商响应文件进行补充、修改或者撤回，并书面通知代理机构。补充、修改的内容应当按照竞争性磋商文件要求签署、盖章、密封后，作为竞争性磋商响应文件的组成部分。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21.2 供应商所递交的竞争性磋商响应文件无论成交与否，均不予退还。</w:t>
      </w:r>
    </w:p>
    <w:bookmarkEnd w:id="34"/>
    <w:p>
      <w:pPr>
        <w:pStyle w:val="4"/>
        <w:jc w:val="center"/>
        <w:rPr>
          <w:sz w:val="32"/>
          <w:highlight w:val="none"/>
        </w:rPr>
      </w:pPr>
      <w:bookmarkStart w:id="36" w:name="_Toc65158784"/>
      <w:bookmarkStart w:id="37" w:name="_Hlk64727481"/>
      <w:r>
        <w:rPr>
          <w:rFonts w:hint="eastAsia"/>
          <w:sz w:val="32"/>
          <w:highlight w:val="none"/>
        </w:rPr>
        <w:t>磋商与评审</w:t>
      </w:r>
      <w:bookmarkEnd w:id="36"/>
    </w:p>
    <w:p>
      <w:pPr>
        <w:adjustRightInd w:val="0"/>
        <w:snapToGrid w:val="0"/>
        <w:spacing w:line="360" w:lineRule="auto"/>
        <w:rPr>
          <w:rFonts w:ascii="宋体" w:hAnsi="宋体" w:eastAsia="宋体"/>
          <w:sz w:val="24"/>
          <w:szCs w:val="24"/>
          <w:highlight w:val="none"/>
        </w:rPr>
      </w:pPr>
      <w:bookmarkStart w:id="38" w:name="_Hlk64727548"/>
      <w:bookmarkStart w:id="39" w:name="_Hlk64727701"/>
      <w:r>
        <w:rPr>
          <w:rFonts w:ascii="宋体" w:hAnsi="宋体" w:eastAsia="宋体"/>
          <w:sz w:val="24"/>
          <w:szCs w:val="24"/>
          <w:highlight w:val="none"/>
        </w:rPr>
        <w:t>22.组织</w:t>
      </w:r>
      <w:r>
        <w:rPr>
          <w:rFonts w:hint="eastAsia" w:ascii="宋体" w:hAnsi="宋体" w:eastAsia="宋体"/>
          <w:sz w:val="24"/>
          <w:szCs w:val="24"/>
          <w:highlight w:val="none"/>
        </w:rPr>
        <w:t>磋商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22.1 代理机构在第一章“</w:t>
      </w:r>
      <w:r>
        <w:rPr>
          <w:rFonts w:hint="eastAsia" w:ascii="宋体" w:hAnsi="宋体" w:eastAsia="宋体"/>
          <w:sz w:val="24"/>
          <w:szCs w:val="24"/>
          <w:highlight w:val="none"/>
        </w:rPr>
        <w:t>竞争性磋商公告</w:t>
      </w:r>
      <w:r>
        <w:rPr>
          <w:rFonts w:ascii="宋体" w:hAnsi="宋体" w:eastAsia="宋体"/>
          <w:sz w:val="24"/>
          <w:szCs w:val="24"/>
          <w:highlight w:val="none"/>
        </w:rPr>
        <w:t>”中约定的日期、时间和地点组织</w:t>
      </w:r>
      <w:r>
        <w:rPr>
          <w:rFonts w:hint="eastAsia" w:ascii="宋体" w:hAnsi="宋体" w:eastAsia="宋体"/>
          <w:sz w:val="24"/>
          <w:szCs w:val="24"/>
          <w:highlight w:val="none"/>
        </w:rPr>
        <w:t>磋商会议</w:t>
      </w:r>
      <w:r>
        <w:rPr>
          <w:rFonts w:ascii="宋体" w:hAnsi="宋体" w:eastAsia="宋体"/>
          <w:sz w:val="24"/>
          <w:szCs w:val="24"/>
          <w:highlight w:val="none"/>
        </w:rPr>
        <w:t>。</w:t>
      </w:r>
      <w:r>
        <w:rPr>
          <w:rFonts w:hint="eastAsia" w:ascii="宋体" w:hAnsi="宋体" w:eastAsia="宋体"/>
          <w:sz w:val="24"/>
          <w:szCs w:val="24"/>
          <w:highlight w:val="none"/>
        </w:rPr>
        <w:t>磋商会议需</w:t>
      </w:r>
      <w:r>
        <w:rPr>
          <w:rFonts w:ascii="宋体" w:hAnsi="宋体" w:eastAsia="宋体"/>
          <w:sz w:val="24"/>
          <w:szCs w:val="24"/>
          <w:highlight w:val="none"/>
        </w:rPr>
        <w:t>采购人和供应商代表（供应商法定代表人或其授权代表）参加,参加</w:t>
      </w:r>
      <w:r>
        <w:rPr>
          <w:rFonts w:hint="eastAsia" w:ascii="宋体" w:hAnsi="宋体" w:eastAsia="宋体"/>
          <w:sz w:val="24"/>
          <w:szCs w:val="24"/>
          <w:highlight w:val="none"/>
        </w:rPr>
        <w:t>磋商</w:t>
      </w:r>
      <w:r>
        <w:rPr>
          <w:rFonts w:ascii="宋体" w:hAnsi="宋体" w:eastAsia="宋体"/>
          <w:sz w:val="24"/>
          <w:szCs w:val="24"/>
          <w:highlight w:val="none"/>
        </w:rPr>
        <w:t>的代表应签到以证明其出席。</w:t>
      </w:r>
    </w:p>
    <w:bookmarkEnd w:id="38"/>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22.2 供应商法定代表人或其授权代表应携带有效身份证明参加</w:t>
      </w:r>
      <w:r>
        <w:rPr>
          <w:rFonts w:hint="eastAsia" w:ascii="宋体" w:hAnsi="宋体" w:eastAsia="宋体"/>
          <w:sz w:val="24"/>
          <w:szCs w:val="24"/>
          <w:highlight w:val="none"/>
        </w:rPr>
        <w:t>磋商会议</w:t>
      </w:r>
      <w:r>
        <w:rPr>
          <w:rFonts w:ascii="宋体" w:hAnsi="宋体" w:eastAsia="宋体"/>
          <w:sz w:val="24"/>
          <w:szCs w:val="24"/>
          <w:highlight w:val="none"/>
        </w:rPr>
        <w:t>，供应商未参加</w:t>
      </w:r>
      <w:r>
        <w:rPr>
          <w:rFonts w:hint="eastAsia" w:ascii="宋体" w:hAnsi="宋体" w:eastAsia="宋体"/>
          <w:sz w:val="24"/>
          <w:szCs w:val="24"/>
          <w:highlight w:val="none"/>
        </w:rPr>
        <w:t>磋商会议</w:t>
      </w:r>
      <w:r>
        <w:rPr>
          <w:rFonts w:ascii="宋体" w:hAnsi="宋体" w:eastAsia="宋体"/>
          <w:sz w:val="24"/>
          <w:szCs w:val="24"/>
          <w:highlight w:val="none"/>
        </w:rPr>
        <w:t>的视同认可</w:t>
      </w:r>
      <w:r>
        <w:rPr>
          <w:rFonts w:hint="eastAsia" w:ascii="宋体" w:hAnsi="宋体" w:eastAsia="宋体"/>
          <w:sz w:val="24"/>
          <w:szCs w:val="24"/>
          <w:highlight w:val="none"/>
        </w:rPr>
        <w:t>磋商会议的</w:t>
      </w:r>
      <w:r>
        <w:rPr>
          <w:rFonts w:ascii="宋体" w:hAnsi="宋体" w:eastAsia="宋体"/>
          <w:sz w:val="24"/>
          <w:szCs w:val="24"/>
          <w:highlight w:val="none"/>
        </w:rPr>
        <w:t>结果。有效身份证明按照《中华人民共和国居民身份证法》的约定执行。</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 xml:space="preserve">22.3 </w:t>
      </w:r>
      <w:r>
        <w:rPr>
          <w:rFonts w:hint="eastAsia" w:ascii="宋体" w:hAnsi="宋体" w:eastAsia="宋体"/>
          <w:sz w:val="24"/>
          <w:szCs w:val="24"/>
          <w:highlight w:val="none"/>
        </w:rPr>
        <w:t>磋商会议上</w:t>
      </w:r>
      <w:r>
        <w:rPr>
          <w:rFonts w:ascii="宋体" w:hAnsi="宋体" w:eastAsia="宋体"/>
          <w:sz w:val="24"/>
          <w:szCs w:val="24"/>
          <w:highlight w:val="none"/>
        </w:rPr>
        <w:t>，由供应商代表或其推选的代表检查竞争性磋商响应文件的密封情况，经确认无误后由代理机构工作人员当众拆封，宣布供应商名称、</w:t>
      </w:r>
      <w:r>
        <w:rPr>
          <w:rFonts w:hint="eastAsia" w:ascii="宋体" w:hAnsi="宋体" w:eastAsia="宋体"/>
          <w:sz w:val="24"/>
          <w:szCs w:val="24"/>
          <w:highlight w:val="none"/>
        </w:rPr>
        <w:t>密封情况</w:t>
      </w:r>
      <w:r>
        <w:rPr>
          <w:rFonts w:ascii="宋体" w:hAnsi="宋体" w:eastAsia="宋体"/>
          <w:sz w:val="24"/>
          <w:szCs w:val="24"/>
          <w:highlight w:val="none"/>
        </w:rPr>
        <w:t>和竞争性磋商文件规定的需要宣布的其他内容。</w:t>
      </w:r>
    </w:p>
    <w:bookmarkEnd w:id="39"/>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22.4 代理机构负责对</w:t>
      </w:r>
      <w:r>
        <w:rPr>
          <w:rFonts w:hint="eastAsia" w:ascii="宋体" w:hAnsi="宋体" w:eastAsia="宋体"/>
          <w:sz w:val="24"/>
          <w:szCs w:val="24"/>
          <w:highlight w:val="none"/>
        </w:rPr>
        <w:t>磋商会议</w:t>
      </w:r>
      <w:r>
        <w:rPr>
          <w:rFonts w:ascii="宋体" w:hAnsi="宋体" w:eastAsia="宋体"/>
          <w:sz w:val="24"/>
          <w:szCs w:val="24"/>
          <w:highlight w:val="none"/>
        </w:rPr>
        <w:t>过程进行记录，由参加</w:t>
      </w:r>
      <w:r>
        <w:rPr>
          <w:rFonts w:hint="eastAsia" w:ascii="宋体" w:hAnsi="宋体" w:eastAsia="宋体"/>
          <w:sz w:val="24"/>
          <w:szCs w:val="24"/>
          <w:highlight w:val="none"/>
        </w:rPr>
        <w:t>磋商</w:t>
      </w:r>
      <w:r>
        <w:rPr>
          <w:rFonts w:ascii="宋体" w:hAnsi="宋体" w:eastAsia="宋体"/>
          <w:sz w:val="24"/>
          <w:szCs w:val="24"/>
          <w:highlight w:val="none"/>
        </w:rPr>
        <w:t>的各供应商代表和相关工作人员对</w:t>
      </w:r>
      <w:r>
        <w:rPr>
          <w:rFonts w:hint="eastAsia" w:ascii="宋体" w:hAnsi="宋体" w:eastAsia="宋体"/>
          <w:sz w:val="24"/>
          <w:szCs w:val="24"/>
          <w:highlight w:val="none"/>
        </w:rPr>
        <w:t>磋商</w:t>
      </w:r>
      <w:r>
        <w:rPr>
          <w:rFonts w:ascii="宋体" w:hAnsi="宋体" w:eastAsia="宋体"/>
          <w:sz w:val="24"/>
          <w:szCs w:val="24"/>
          <w:highlight w:val="none"/>
        </w:rPr>
        <w:t>记录进行签字确认。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22.5 供应商代表对</w:t>
      </w:r>
      <w:r>
        <w:rPr>
          <w:rFonts w:hint="eastAsia" w:ascii="宋体" w:hAnsi="宋体" w:eastAsia="宋体"/>
          <w:sz w:val="24"/>
          <w:szCs w:val="24"/>
          <w:highlight w:val="none"/>
        </w:rPr>
        <w:t>磋商会议</w:t>
      </w:r>
      <w:r>
        <w:rPr>
          <w:rFonts w:ascii="宋体" w:hAnsi="宋体" w:eastAsia="宋体"/>
          <w:sz w:val="24"/>
          <w:szCs w:val="24"/>
          <w:highlight w:val="none"/>
        </w:rPr>
        <w:t>过程和</w:t>
      </w:r>
      <w:r>
        <w:rPr>
          <w:rFonts w:hint="eastAsia" w:ascii="宋体" w:hAnsi="宋体" w:eastAsia="宋体"/>
          <w:sz w:val="24"/>
          <w:szCs w:val="24"/>
          <w:highlight w:val="none"/>
        </w:rPr>
        <w:t>磋商</w:t>
      </w:r>
      <w:r>
        <w:rPr>
          <w:rFonts w:ascii="宋体" w:hAnsi="宋体" w:eastAsia="宋体"/>
          <w:sz w:val="24"/>
          <w:szCs w:val="24"/>
          <w:highlight w:val="none"/>
        </w:rPr>
        <w:t>记录有疑义，以及认为采购人、代理机构相关工作人员有需要回避的情形的，应当场提出询问或者回避申请。采购人、代理机构将及时处理供应商代表提出的询问或者回避申请。</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23.资格</w:t>
      </w:r>
      <w:r>
        <w:rPr>
          <w:rFonts w:hint="eastAsia" w:ascii="宋体" w:hAnsi="宋体" w:eastAsia="宋体"/>
          <w:sz w:val="24"/>
          <w:szCs w:val="24"/>
          <w:highlight w:val="none"/>
        </w:rPr>
        <w:t>及符合性</w:t>
      </w:r>
      <w:r>
        <w:rPr>
          <w:rFonts w:ascii="宋体" w:hAnsi="宋体" w:eastAsia="宋体"/>
          <w:sz w:val="24"/>
          <w:szCs w:val="24"/>
          <w:highlight w:val="none"/>
        </w:rPr>
        <w:t>审查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23.1 项目</w:t>
      </w:r>
      <w:r>
        <w:rPr>
          <w:rFonts w:hint="eastAsia" w:ascii="宋体" w:hAnsi="宋体" w:eastAsia="宋体"/>
          <w:sz w:val="24"/>
          <w:szCs w:val="24"/>
          <w:highlight w:val="none"/>
        </w:rPr>
        <w:t>磋商会议</w:t>
      </w:r>
      <w:r>
        <w:rPr>
          <w:rFonts w:ascii="宋体" w:hAnsi="宋体" w:eastAsia="宋体"/>
          <w:sz w:val="24"/>
          <w:szCs w:val="24"/>
          <w:highlight w:val="none"/>
        </w:rPr>
        <w:t>结束后，</w:t>
      </w:r>
      <w:r>
        <w:rPr>
          <w:rFonts w:hint="eastAsia" w:ascii="宋体" w:hAnsi="宋体" w:eastAsia="宋体"/>
          <w:sz w:val="24"/>
          <w:szCs w:val="24"/>
          <w:highlight w:val="none"/>
        </w:rPr>
        <w:t>磋商小组</w:t>
      </w:r>
      <w:r>
        <w:rPr>
          <w:rFonts w:ascii="宋体" w:hAnsi="宋体" w:eastAsia="宋体"/>
          <w:sz w:val="24"/>
          <w:szCs w:val="24"/>
          <w:highlight w:val="none"/>
        </w:rPr>
        <w:t>依据法律、法规及竞争性磋商文件的规定，对供应商进行</w:t>
      </w:r>
      <w:r>
        <w:rPr>
          <w:rFonts w:hint="eastAsia" w:ascii="宋体" w:hAnsi="宋体" w:eastAsia="宋体"/>
          <w:sz w:val="24"/>
          <w:szCs w:val="24"/>
          <w:highlight w:val="none"/>
        </w:rPr>
        <w:t>资格及符合性</w:t>
      </w:r>
      <w:r>
        <w:rPr>
          <w:rFonts w:ascii="宋体" w:hAnsi="宋体" w:eastAsia="宋体"/>
          <w:sz w:val="24"/>
          <w:szCs w:val="24"/>
          <w:highlight w:val="none"/>
        </w:rPr>
        <w:t>审查，以确定供应商资格是否</w:t>
      </w:r>
      <w:r>
        <w:rPr>
          <w:rFonts w:hint="eastAsia" w:ascii="宋体" w:hAnsi="宋体" w:eastAsia="宋体"/>
          <w:sz w:val="24"/>
          <w:szCs w:val="24"/>
          <w:highlight w:val="none"/>
        </w:rPr>
        <w:t>具备磋商资格</w:t>
      </w:r>
      <w:r>
        <w:rPr>
          <w:rFonts w:ascii="宋体" w:hAnsi="宋体" w:eastAsia="宋体"/>
          <w:sz w:val="24"/>
          <w:szCs w:val="24"/>
          <w:highlight w:val="none"/>
        </w:rPr>
        <w:t>。</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 xml:space="preserve">23.2 </w:t>
      </w:r>
      <w:r>
        <w:rPr>
          <w:rFonts w:hint="eastAsia" w:ascii="宋体" w:hAnsi="宋体" w:eastAsia="宋体"/>
          <w:sz w:val="24"/>
          <w:szCs w:val="24"/>
          <w:highlight w:val="none"/>
        </w:rPr>
        <w:t>具体</w:t>
      </w:r>
      <w:r>
        <w:rPr>
          <w:rFonts w:ascii="宋体" w:hAnsi="宋体" w:eastAsia="宋体"/>
          <w:sz w:val="24"/>
          <w:szCs w:val="24"/>
          <w:highlight w:val="none"/>
        </w:rPr>
        <w:t>资格</w:t>
      </w:r>
      <w:r>
        <w:rPr>
          <w:rFonts w:hint="eastAsia" w:ascii="宋体" w:hAnsi="宋体" w:eastAsia="宋体"/>
          <w:sz w:val="24"/>
          <w:szCs w:val="24"/>
          <w:highlight w:val="none"/>
        </w:rPr>
        <w:t>及符合性</w:t>
      </w:r>
      <w:r>
        <w:rPr>
          <w:rFonts w:ascii="宋体" w:hAnsi="宋体" w:eastAsia="宋体"/>
          <w:sz w:val="24"/>
          <w:szCs w:val="24"/>
          <w:highlight w:val="none"/>
        </w:rPr>
        <w:t>审查详见第四章“评审标准及方法”。</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24.评审方法</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24.1 最低评审价法。最低评审价法是指竞争性磋商响应文件满足竞争性磋商文件全部实质性要求，且磋商报价最低的供应商为成交候选供应商的评审方法。</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24.2 综合评分法。综合评分法是指竞争性磋商响应文件满足竞争性磋商文件全部实质性要求，且按照评审因素的量化指标评审得分最高的供应商为成交候选供应商的评审方法。</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24.3 评审方法详见第</w:t>
      </w:r>
      <w:r>
        <w:rPr>
          <w:rFonts w:hint="eastAsia" w:ascii="宋体" w:hAnsi="宋体" w:eastAsia="宋体"/>
          <w:sz w:val="24"/>
          <w:szCs w:val="24"/>
          <w:highlight w:val="none"/>
        </w:rPr>
        <w:t>四</w:t>
      </w:r>
      <w:r>
        <w:rPr>
          <w:rFonts w:ascii="宋体" w:hAnsi="宋体" w:eastAsia="宋体"/>
          <w:sz w:val="24"/>
          <w:szCs w:val="24"/>
          <w:highlight w:val="none"/>
        </w:rPr>
        <w:t>章“评审标准及方法”。</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25.磋商小组的组建及要求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 xml:space="preserve">25.1 </w:t>
      </w:r>
      <w:r>
        <w:rPr>
          <w:rFonts w:hint="eastAsia" w:ascii="宋体" w:hAnsi="宋体" w:eastAsia="宋体"/>
          <w:sz w:val="24"/>
          <w:szCs w:val="24"/>
          <w:highlight w:val="none"/>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r>
        <w:rPr>
          <w:rFonts w:ascii="宋体" w:hAnsi="宋体" w:eastAsia="宋体"/>
          <w:sz w:val="24"/>
          <w:szCs w:val="24"/>
          <w:highlight w:val="none"/>
        </w:rPr>
        <w:t>具体磋商小组的组建详见</w:t>
      </w:r>
      <w:r>
        <w:rPr>
          <w:rFonts w:hint="eastAsia" w:ascii="宋体" w:hAnsi="宋体" w:eastAsia="宋体"/>
          <w:sz w:val="24"/>
          <w:szCs w:val="24"/>
          <w:highlight w:val="none"/>
        </w:rPr>
        <w:t>供应商</w:t>
      </w:r>
      <w:r>
        <w:rPr>
          <w:rFonts w:ascii="宋体" w:hAnsi="宋体" w:eastAsia="宋体"/>
          <w:sz w:val="24"/>
          <w:szCs w:val="24"/>
          <w:highlight w:val="none"/>
        </w:rPr>
        <w:t>须知前附表。</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25.2 磋商小组成员依法从政府采购专家库中随机抽取。对技术复杂、专业性强的采购项目，通过随机方式难以确定合适评审专家的，经主管预算单位同意，采购人可以自行选定相应专业领域的评审专家。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25.3 磋商小组成员有下列情形之一的，应当主动申请回避，由</w:t>
      </w:r>
      <w:r>
        <w:rPr>
          <w:rFonts w:hint="eastAsia" w:ascii="宋体" w:hAnsi="宋体" w:eastAsia="宋体"/>
          <w:sz w:val="24"/>
          <w:szCs w:val="24"/>
          <w:highlight w:val="none"/>
        </w:rPr>
        <w:t>采购人及</w:t>
      </w:r>
      <w:r>
        <w:rPr>
          <w:rFonts w:ascii="宋体" w:hAnsi="宋体" w:eastAsia="宋体"/>
          <w:sz w:val="24"/>
          <w:szCs w:val="24"/>
          <w:highlight w:val="none"/>
        </w:rPr>
        <w:t>代理机构组织补抽评委：</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25.3.1 参加采购活动前3年内与供应商存在劳动关系；</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25.3.2 参加采购活动前3年内担任供应商的董事、监事；</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25.3.3 参加采购活动前3年内是供应商的控股股东或者实际控制人；</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25.3.4 与供应商的法定代表人或者负责人有夫妻、直系血亲、三代以内旁系血亲或者近姻亲关系；</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25.3.5 与供应商有其他可能影响政府采购活动公平、公正进行的关系。</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26.评审程序</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26.1 磋商小组负责具体评审事务，并独立履行下列职责：</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26.1.1 审查、评价竞争性磋商响应文件是否符合竞争性磋商文件的商务、技术等实质性要求；</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26.1.2 要求供应商对竞争性磋商响应文件有关事项作出澄清或者说明；</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26.1.3 对竞争性磋商响应文件进行综合比较和评价；</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26.1.4 确定成交候选供应商名单，或成交供应商（如有授权）；</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26.1.5 向采购人、代理机构或者有关部门报告评审中发现的违法行为。</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26.2 具体评审程序详见第四章“评审标准及方法”。</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27.磋商小组注意事项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27.1 磋商小组成员在评审过程对需要共同认定的事项存在争议的，应当按照少数服从多数的原则作出结论。持不同意见的磋商小组成员应当在评审报告上签署不同意见及理由，否则视为同意评审报告。</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27.2 磋商小组及其成员不得有下列行为：</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27.2.1 确定参与评审至评审结束前私自接触供应商；</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27.2.2 接受供应商提出的与竞争性磋商响应文件不一致的澄清或者说明，下列规定的情形除外（对于竞争性磋商响应文件中含义不明确、同类问题表述不一致或者有明显文字和计算错误的内容，磋商小组应当以书面形式要求供应商作出必要的澄清、说明或者补正。供应商的澄清、说明或者补正应当采用书面形式，并加盖公章，或者由法定代表人或其授权的代表签字。供应商的澄清、说明或者补正不得超出竞争性磋商响应文件的范围或者改变竞争性磋商响应文件的实质性内容）；</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27.2.3 违反评审纪律发表倾向性意见或者征询采购人的倾向性意见；</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27.2.4 对需要专业判断的主观评审因素协商评分；</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27.2.5 在评审过程中擅离职守，影响评审程序正常进行的；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27.2.6 记录、复制或者带走任何评审资料；</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27.2.7 其他不遵守评审纪律的行为。</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27.3 磋商小组成员有前款第一至五项行为之一的，其评审意见无效，并不得获取评审劳务报酬和报销异地评审差旅费。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27.4 评审结果汇总完成后，除下列情形外，任何人不得修改评审结果：</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27.4.1 分值汇总计算错误的；</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27.4.2 分项评分超出评分标准范围的；</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27.4.3 磋商小组成员对客观评审因素评分不一致的；</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27.4.4 经磋商小组认定评分畸高、畸低的。</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27.5 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财政部门。</w:t>
      </w:r>
    </w:p>
    <w:bookmarkEnd w:id="37"/>
    <w:p>
      <w:pPr>
        <w:pStyle w:val="4"/>
        <w:jc w:val="center"/>
        <w:rPr>
          <w:sz w:val="32"/>
          <w:highlight w:val="none"/>
        </w:rPr>
      </w:pPr>
      <w:bookmarkStart w:id="40" w:name="_Toc65158785"/>
      <w:r>
        <w:rPr>
          <w:rFonts w:hint="eastAsia"/>
          <w:sz w:val="32"/>
          <w:highlight w:val="none"/>
        </w:rPr>
        <w:t>信用及查询</w:t>
      </w:r>
      <w:bookmarkEnd w:id="40"/>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28.信用查询渠道</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28.1 按照《关于在政府采购活动中查询及使用信用记录有关问题的通知》的要求，参与政府采购的供应商，信用记录的查询渠道为“信用中国”网站（https://www.creditchina.gov.cn/）和</w:t>
      </w:r>
      <w:r>
        <w:rPr>
          <w:rFonts w:hint="eastAsia" w:ascii="宋体" w:hAnsi="宋体" w:eastAsia="宋体"/>
          <w:sz w:val="24"/>
          <w:szCs w:val="24"/>
          <w:highlight w:val="none"/>
        </w:rPr>
        <w:t>“</w:t>
      </w:r>
      <w:r>
        <w:rPr>
          <w:rFonts w:ascii="宋体" w:hAnsi="宋体" w:eastAsia="宋体"/>
          <w:sz w:val="24"/>
          <w:szCs w:val="24"/>
          <w:highlight w:val="none"/>
        </w:rPr>
        <w:t>中国政府采购网</w:t>
      </w:r>
      <w:r>
        <w:rPr>
          <w:rFonts w:hint="eastAsia" w:ascii="宋体" w:hAnsi="宋体" w:eastAsia="宋体"/>
          <w:sz w:val="24"/>
          <w:szCs w:val="24"/>
          <w:highlight w:val="none"/>
        </w:rPr>
        <w:t>”网站</w:t>
      </w:r>
      <w:r>
        <w:rPr>
          <w:rFonts w:ascii="宋体" w:hAnsi="宋体" w:eastAsia="宋体"/>
          <w:sz w:val="24"/>
          <w:szCs w:val="24"/>
          <w:highlight w:val="none"/>
        </w:rPr>
        <w:t>（http://www.ccgp.gov.cn/）。</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28.2 “信用中国”网站（https://www.creditchina.gov.cn/）</w:t>
      </w:r>
      <w:r>
        <w:rPr>
          <w:rFonts w:hint="eastAsia" w:ascii="宋体" w:hAnsi="宋体" w:eastAsia="宋体"/>
          <w:sz w:val="24"/>
          <w:szCs w:val="24"/>
          <w:highlight w:val="none"/>
        </w:rPr>
        <w:t>查询</w:t>
      </w:r>
      <w:r>
        <w:rPr>
          <w:rFonts w:ascii="宋体" w:hAnsi="宋体" w:eastAsia="宋体"/>
          <w:sz w:val="24"/>
          <w:szCs w:val="24"/>
          <w:highlight w:val="none"/>
        </w:rPr>
        <w:t>列入失信被执行人、重大税收违法案件当事人名单，</w:t>
      </w:r>
      <w:r>
        <w:rPr>
          <w:rFonts w:hint="eastAsia" w:ascii="宋体" w:hAnsi="宋体" w:eastAsia="宋体"/>
          <w:sz w:val="24"/>
          <w:szCs w:val="24"/>
          <w:highlight w:val="none"/>
        </w:rPr>
        <w:t>“</w:t>
      </w:r>
      <w:r>
        <w:rPr>
          <w:rFonts w:ascii="宋体" w:hAnsi="宋体" w:eastAsia="宋体"/>
          <w:sz w:val="24"/>
          <w:szCs w:val="24"/>
          <w:highlight w:val="none"/>
        </w:rPr>
        <w:t>中国政府采购网</w:t>
      </w:r>
      <w:r>
        <w:rPr>
          <w:rFonts w:hint="eastAsia" w:ascii="宋体" w:hAnsi="宋体" w:eastAsia="宋体"/>
          <w:sz w:val="24"/>
          <w:szCs w:val="24"/>
          <w:highlight w:val="none"/>
        </w:rPr>
        <w:t>”网站</w:t>
      </w:r>
      <w:r>
        <w:rPr>
          <w:rFonts w:ascii="宋体" w:hAnsi="宋体" w:eastAsia="宋体"/>
          <w:sz w:val="24"/>
          <w:szCs w:val="24"/>
          <w:highlight w:val="none"/>
        </w:rPr>
        <w:t>（http://www.ccgp.gov.cn/）</w:t>
      </w:r>
      <w:r>
        <w:rPr>
          <w:rFonts w:hint="eastAsia" w:ascii="宋体" w:hAnsi="宋体" w:eastAsia="宋体"/>
          <w:sz w:val="24"/>
          <w:szCs w:val="24"/>
          <w:highlight w:val="none"/>
        </w:rPr>
        <w:t>查询列入</w:t>
      </w:r>
      <w:r>
        <w:rPr>
          <w:rFonts w:ascii="宋体" w:hAnsi="宋体" w:eastAsia="宋体"/>
          <w:sz w:val="24"/>
          <w:szCs w:val="24"/>
          <w:highlight w:val="none"/>
        </w:rPr>
        <w:t>政府采购严重违法失信行为记录名单</w:t>
      </w:r>
      <w:r>
        <w:rPr>
          <w:rFonts w:hint="eastAsia" w:ascii="宋体" w:hAnsi="宋体" w:eastAsia="宋体"/>
          <w:sz w:val="24"/>
          <w:szCs w:val="24"/>
          <w:highlight w:val="none"/>
        </w:rPr>
        <w:t>的，</w:t>
      </w:r>
      <w:r>
        <w:rPr>
          <w:rFonts w:ascii="宋体" w:hAnsi="宋体" w:eastAsia="宋体"/>
          <w:sz w:val="24"/>
          <w:szCs w:val="24"/>
          <w:highlight w:val="none"/>
        </w:rPr>
        <w:t>代理机构</w:t>
      </w:r>
      <w:r>
        <w:rPr>
          <w:rFonts w:hint="eastAsia" w:ascii="宋体" w:hAnsi="宋体" w:eastAsia="宋体"/>
          <w:sz w:val="24"/>
          <w:szCs w:val="24"/>
          <w:highlight w:val="none"/>
        </w:rPr>
        <w:t>及采购人将</w:t>
      </w:r>
      <w:r>
        <w:rPr>
          <w:rFonts w:ascii="宋体" w:hAnsi="宋体" w:eastAsia="宋体"/>
          <w:sz w:val="24"/>
          <w:szCs w:val="24"/>
          <w:highlight w:val="none"/>
        </w:rPr>
        <w:t>拒绝其参与政府采购活动。</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28.3 两个及以上自然人、法人或者其他组织组成联合体，以一个供应商的身份共同参加政府采购活动的，应当对所有联合体成员进行信用记录查询，联合体成员存在不良信用记录的，视同联合体存在不良信用信息。</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29.信用使用规则</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29.1 供应商的信用记录，最终以评审时的“信用中国”网站和“中国政府采购网”发布的信息为准。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29.2 采购人和代理机构工作人员应对供应商的信用信息进行复核，发现供应商存在不良信用信息的，其</w:t>
      </w:r>
      <w:r>
        <w:rPr>
          <w:rFonts w:hint="eastAsia" w:ascii="宋体" w:hAnsi="宋体" w:eastAsia="宋体"/>
          <w:sz w:val="24"/>
          <w:szCs w:val="24"/>
          <w:highlight w:val="none"/>
        </w:rPr>
        <w:t>响应文件</w:t>
      </w:r>
      <w:r>
        <w:rPr>
          <w:rFonts w:ascii="宋体" w:hAnsi="宋体" w:eastAsia="宋体"/>
          <w:sz w:val="24"/>
          <w:szCs w:val="24"/>
          <w:highlight w:val="none"/>
        </w:rPr>
        <w:t>作无效响应处理。</w:t>
      </w:r>
    </w:p>
    <w:p>
      <w:pPr>
        <w:pStyle w:val="4"/>
        <w:jc w:val="center"/>
        <w:rPr>
          <w:sz w:val="32"/>
          <w:highlight w:val="none"/>
        </w:rPr>
      </w:pPr>
      <w:bookmarkStart w:id="41" w:name="_Toc65158786"/>
      <w:bookmarkStart w:id="42" w:name="_Hlk64705694"/>
      <w:r>
        <w:rPr>
          <w:rFonts w:hint="eastAsia"/>
          <w:sz w:val="32"/>
          <w:highlight w:val="none"/>
        </w:rPr>
        <w:t>成交与合同</w:t>
      </w:r>
      <w:bookmarkEnd w:id="41"/>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30.确定成交供应商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30.1 采购人须在收到评审报告5个工作日内，按评审报告推荐的成交候选供应商顺序确定成交供应商。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30.2 成交候选供应商并列的：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30.2.1 采用最低评审价法的，评审结果按磋商报价由低到高顺序排列。磋商报价相同的</w:t>
      </w:r>
      <w:r>
        <w:rPr>
          <w:rFonts w:hint="eastAsia" w:ascii="宋体" w:hAnsi="宋体" w:eastAsia="宋体"/>
          <w:sz w:val="24"/>
          <w:szCs w:val="24"/>
          <w:highlight w:val="none"/>
        </w:rPr>
        <w:t>，按照技术指标优劣顺序推荐。</w:t>
      </w:r>
    </w:p>
    <w:p>
      <w:pPr>
        <w:adjustRightInd w:val="0"/>
        <w:snapToGrid w:val="0"/>
        <w:spacing w:line="360" w:lineRule="auto"/>
        <w:ind w:left="840" w:hanging="840" w:hangingChars="350"/>
        <w:rPr>
          <w:rFonts w:hint="default" w:ascii="宋体" w:hAnsi="宋体" w:eastAsia="宋体"/>
          <w:sz w:val="24"/>
          <w:szCs w:val="24"/>
          <w:highlight w:val="none"/>
          <w:lang w:val="en-US" w:eastAsia="zh-CN"/>
        </w:rPr>
      </w:pPr>
      <w:r>
        <w:rPr>
          <w:rFonts w:ascii="宋体" w:hAnsi="宋体" w:eastAsia="宋体"/>
          <w:sz w:val="24"/>
          <w:szCs w:val="24"/>
          <w:highlight w:val="none"/>
        </w:rPr>
        <w:t>30.2.2 采用综合评分法的，评审结果按评审后得分由高到低顺序排列。</w:t>
      </w:r>
      <w:r>
        <w:rPr>
          <w:rFonts w:hint="eastAsia" w:ascii="宋体" w:hAnsi="宋体" w:eastAsia="宋体"/>
          <w:sz w:val="24"/>
          <w:szCs w:val="24"/>
          <w:highlight w:val="none"/>
        </w:rPr>
        <w:t>评审得分相同的，按照最后报价由低到高的顺序推荐。评审得分且最后报价相同的，按照技术指标优劣顺序推荐。</w:t>
      </w:r>
      <w:r>
        <w:rPr>
          <w:rFonts w:hint="eastAsia" w:ascii="宋体" w:hAnsi="宋体" w:eastAsia="宋体"/>
          <w:sz w:val="24"/>
          <w:szCs w:val="24"/>
          <w:highlight w:val="none"/>
          <w:lang w:val="en-US" w:eastAsia="zh-CN"/>
        </w:rPr>
        <w:t>(供应商可以同时成为两个包的成交供应商)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30.3 成交供应商确定后，代理机构在政府采购监管部门及采购人指定的媒体上发布</w:t>
      </w:r>
      <w:r>
        <w:rPr>
          <w:rFonts w:hint="eastAsia" w:ascii="宋体" w:hAnsi="宋体" w:eastAsia="宋体"/>
          <w:sz w:val="24"/>
          <w:szCs w:val="24"/>
          <w:highlight w:val="none"/>
        </w:rPr>
        <w:t>成交结果</w:t>
      </w:r>
      <w:r>
        <w:rPr>
          <w:rFonts w:ascii="宋体" w:hAnsi="宋体" w:eastAsia="宋体"/>
          <w:sz w:val="24"/>
          <w:szCs w:val="24"/>
          <w:highlight w:val="none"/>
        </w:rPr>
        <w:t>公告，同时向成交供应商和采购人发出《成交通知书》。《成交通知书》是政府采购合同的组成部分,对成交供应商和采购人具有同等法律效力。</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30.4 成交通知书发出后，成交供应商无正当理由不得放弃成交。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30.5 成交供应商拒绝与采购人签订合同的，采购人可以按照评审报告推荐的成交候选供应商名单排序，确定下一候选人为成交供应商，也可以重新开展政府采购活动。</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31.合同授予及签订</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31.1 除本章“确定成交供应商”规定及其他法律规定的情形外，采购人把合同授予被确定为实质上响应竞争性磋商文件要求且排名第一的成交供应商。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31.2 采购人应当自成交通知书发出之日起30日内，按照竞争性磋商文件规定和成交供应商竞争性磋商响应文件的承诺，与成交供应商签订书面合同。所签订的合同不得对竞争性磋商文件确定的事项和成交供应商竞争性磋商响应文件作实质性修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31.3 采购人不得向成交供应商提出任何不合理的要求作为签订合同的条件。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31.4 政府采购合同应当包括采购人与成交供应商的名称和住所、标的、数量、质量、价款、履行期限及地点和方式、验收要求、违约责任、解决争议的方法等内容。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31.5 采购人与成交供应商应当根据合同的约定依法履行合同义务。政府采购合同的履行、违约责任和解决争议的方法等适用《中华人民共和国合同法》。</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31.6 采购人应当加强对政府采购合同以及成交供应商的履约管理。并按照采购合同约定，及时向成交供应商支付采购资金。对于成交供应商违反采购合同约定的行为，采购人应当及时处理，依法追究其违约责任。</w:t>
      </w:r>
    </w:p>
    <w:bookmarkEnd w:id="42"/>
    <w:p>
      <w:pPr>
        <w:pStyle w:val="4"/>
        <w:jc w:val="center"/>
        <w:rPr>
          <w:sz w:val="32"/>
          <w:highlight w:val="none"/>
        </w:rPr>
      </w:pPr>
      <w:bookmarkStart w:id="43" w:name="_Toc65158787"/>
      <w:r>
        <w:rPr>
          <w:rFonts w:hint="eastAsia"/>
          <w:sz w:val="32"/>
          <w:highlight w:val="none"/>
        </w:rPr>
        <w:t>公告与媒体</w:t>
      </w:r>
      <w:bookmarkEnd w:id="43"/>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32.公告媒体</w:t>
      </w:r>
    </w:p>
    <w:p>
      <w:pPr>
        <w:adjustRightInd w:val="0"/>
        <w:snapToGrid w:val="0"/>
        <w:spacing w:line="360" w:lineRule="auto"/>
        <w:ind w:firstLine="360" w:firstLineChars="150"/>
        <w:rPr>
          <w:rFonts w:ascii="宋体" w:hAnsi="宋体" w:eastAsia="宋体"/>
          <w:sz w:val="24"/>
          <w:szCs w:val="24"/>
          <w:highlight w:val="none"/>
        </w:rPr>
      </w:pPr>
      <w:r>
        <w:rPr>
          <w:rFonts w:hint="eastAsia" w:ascii="宋体" w:hAnsi="宋体" w:eastAsia="宋体"/>
          <w:sz w:val="24"/>
          <w:szCs w:val="24"/>
          <w:highlight w:val="none"/>
        </w:rPr>
        <w:t>代理机构在采购活动中的公告、补充、更正、结果等采购信息均依法在政府采购监管部门指定媒体以及采购人指定的媒体上发布，具体媒体详见竞争性磋商公告上指定的公告媒体。</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33.公告规定</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33.1 代理机构在自成交供应商确定之日起2个工作日内，在政府采购监管部门指定媒体上公告</w:t>
      </w:r>
      <w:r>
        <w:rPr>
          <w:rFonts w:hint="eastAsia" w:ascii="宋体" w:hAnsi="宋体" w:eastAsia="宋体"/>
          <w:sz w:val="24"/>
          <w:szCs w:val="24"/>
          <w:highlight w:val="none"/>
        </w:rPr>
        <w:t>成交</w:t>
      </w:r>
      <w:r>
        <w:rPr>
          <w:rFonts w:ascii="宋体" w:hAnsi="宋体" w:eastAsia="宋体"/>
          <w:sz w:val="24"/>
          <w:szCs w:val="24"/>
          <w:highlight w:val="none"/>
        </w:rPr>
        <w:t>结果，</w:t>
      </w:r>
      <w:r>
        <w:rPr>
          <w:rFonts w:hint="eastAsia" w:ascii="宋体" w:hAnsi="宋体" w:eastAsia="宋体"/>
          <w:sz w:val="24"/>
          <w:szCs w:val="24"/>
          <w:highlight w:val="none"/>
        </w:rPr>
        <w:t>成交结果</w:t>
      </w:r>
      <w:r>
        <w:rPr>
          <w:rFonts w:ascii="宋体" w:hAnsi="宋体" w:eastAsia="宋体"/>
          <w:sz w:val="24"/>
          <w:szCs w:val="24"/>
          <w:highlight w:val="none"/>
        </w:rPr>
        <w:t>公告的公示期为1个工作日。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33.2 资格审查未通过的供应商可在结果公告质疑有效期内按公告中的联系方式获知本单位的资格审查情况。</w:t>
      </w:r>
    </w:p>
    <w:p>
      <w:pPr>
        <w:pStyle w:val="4"/>
        <w:jc w:val="center"/>
        <w:rPr>
          <w:sz w:val="32"/>
          <w:highlight w:val="none"/>
        </w:rPr>
      </w:pPr>
      <w:bookmarkStart w:id="44" w:name="_Toc65158788"/>
      <w:r>
        <w:rPr>
          <w:rFonts w:hint="eastAsia"/>
          <w:sz w:val="32"/>
          <w:highlight w:val="none"/>
        </w:rPr>
        <w:t>质疑及投诉</w:t>
      </w:r>
      <w:bookmarkEnd w:id="44"/>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34.质疑提交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34.1 供应商认为竞争性磋商文件、</w:t>
      </w:r>
      <w:r>
        <w:rPr>
          <w:rFonts w:hint="eastAsia" w:ascii="宋体" w:hAnsi="宋体" w:eastAsia="宋体"/>
          <w:sz w:val="24"/>
          <w:szCs w:val="24"/>
          <w:highlight w:val="none"/>
        </w:rPr>
        <w:t>采购</w:t>
      </w:r>
      <w:r>
        <w:rPr>
          <w:rFonts w:ascii="宋体" w:hAnsi="宋体" w:eastAsia="宋体"/>
          <w:sz w:val="24"/>
          <w:szCs w:val="24"/>
          <w:highlight w:val="none"/>
        </w:rPr>
        <w:t>过程和成交结果使自己的权益受到损害的，可以在知道或者应知其权益受到损害之日起7个工作日内，可依据《中华人民共和国政府采购法》、《政府采购质疑和投诉办法(财政部94号令)》等相关规定，向代理机构提出质疑。</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34.2 质疑书应当包括下列主要内容：</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34.2.1</w:t>
      </w:r>
      <w:r>
        <w:rPr>
          <w:rFonts w:hint="eastAsia" w:ascii="宋体" w:hAnsi="宋体" w:eastAsia="宋体"/>
          <w:sz w:val="24"/>
          <w:szCs w:val="24"/>
          <w:highlight w:val="none"/>
        </w:rPr>
        <w:t xml:space="preserve"> </w:t>
      </w:r>
      <w:r>
        <w:rPr>
          <w:rFonts w:ascii="宋体" w:hAnsi="宋体" w:eastAsia="宋体"/>
          <w:sz w:val="24"/>
          <w:szCs w:val="24"/>
          <w:highlight w:val="none"/>
        </w:rPr>
        <w:t>质疑人的名称、地址、联系人及联系电话等；</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34.2.2</w:t>
      </w:r>
      <w:r>
        <w:rPr>
          <w:rFonts w:hint="eastAsia" w:ascii="宋体" w:hAnsi="宋体" w:eastAsia="宋体"/>
          <w:sz w:val="24"/>
          <w:szCs w:val="24"/>
          <w:highlight w:val="none"/>
        </w:rPr>
        <w:t xml:space="preserve"> </w:t>
      </w:r>
      <w:r>
        <w:rPr>
          <w:rFonts w:ascii="宋体" w:hAnsi="宋体" w:eastAsia="宋体"/>
          <w:sz w:val="24"/>
          <w:szCs w:val="24"/>
          <w:highlight w:val="none"/>
        </w:rPr>
        <w:t>被质疑人的名称、地址、联系人及联系电话等；</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34.2.3</w:t>
      </w:r>
      <w:r>
        <w:rPr>
          <w:rFonts w:hint="eastAsia" w:ascii="宋体" w:hAnsi="宋体" w:eastAsia="宋体"/>
          <w:sz w:val="24"/>
          <w:szCs w:val="24"/>
          <w:highlight w:val="none"/>
        </w:rPr>
        <w:t xml:space="preserve"> </w:t>
      </w:r>
      <w:r>
        <w:rPr>
          <w:rFonts w:ascii="宋体" w:hAnsi="宋体" w:eastAsia="宋体"/>
          <w:sz w:val="24"/>
          <w:szCs w:val="24"/>
          <w:highlight w:val="none"/>
        </w:rPr>
        <w:t>质疑项目名称及编号、质疑事项和明确的请求；</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34.2.4</w:t>
      </w:r>
      <w:r>
        <w:rPr>
          <w:rFonts w:hint="eastAsia" w:ascii="宋体" w:hAnsi="宋体" w:eastAsia="宋体"/>
          <w:sz w:val="24"/>
          <w:szCs w:val="24"/>
          <w:highlight w:val="none"/>
        </w:rPr>
        <w:t xml:space="preserve"> </w:t>
      </w:r>
      <w:r>
        <w:rPr>
          <w:rFonts w:ascii="宋体" w:hAnsi="宋体" w:eastAsia="宋体"/>
          <w:sz w:val="24"/>
          <w:szCs w:val="24"/>
          <w:highlight w:val="none"/>
        </w:rPr>
        <w:t>质疑事项的事实根据、法律依据及其他必要的证明材料；</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34.2.5</w:t>
      </w:r>
      <w:r>
        <w:rPr>
          <w:rFonts w:hint="eastAsia" w:ascii="宋体" w:hAnsi="宋体" w:eastAsia="宋体"/>
          <w:sz w:val="24"/>
          <w:szCs w:val="24"/>
          <w:highlight w:val="none"/>
        </w:rPr>
        <w:t xml:space="preserve"> </w:t>
      </w:r>
      <w:r>
        <w:rPr>
          <w:rFonts w:ascii="宋体" w:hAnsi="宋体" w:eastAsia="宋体"/>
          <w:sz w:val="24"/>
          <w:szCs w:val="24"/>
          <w:highlight w:val="none"/>
        </w:rPr>
        <w:t>提出质疑的日期；</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34.2.6</w:t>
      </w:r>
      <w:r>
        <w:rPr>
          <w:rFonts w:hint="eastAsia" w:ascii="宋体" w:hAnsi="宋体" w:eastAsia="宋体"/>
          <w:sz w:val="24"/>
          <w:szCs w:val="24"/>
          <w:highlight w:val="none"/>
        </w:rPr>
        <w:t xml:space="preserve"> </w:t>
      </w:r>
      <w:r>
        <w:rPr>
          <w:rFonts w:ascii="宋体" w:hAnsi="宋体" w:eastAsia="宋体"/>
          <w:sz w:val="24"/>
          <w:szCs w:val="24"/>
          <w:highlight w:val="none"/>
        </w:rPr>
        <w:t>质疑人的署名及签章（质疑人为自然人的，应当由本人签字；质疑人为法人或者其他组织的，应当由法定代表人或者主要负责人签字盖章并加盖公章）；</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34.2.7</w:t>
      </w:r>
      <w:r>
        <w:rPr>
          <w:rFonts w:hint="eastAsia" w:ascii="宋体" w:hAnsi="宋体" w:eastAsia="宋体"/>
          <w:sz w:val="24"/>
          <w:szCs w:val="24"/>
          <w:highlight w:val="none"/>
        </w:rPr>
        <w:t xml:space="preserve"> </w:t>
      </w:r>
      <w:r>
        <w:rPr>
          <w:rFonts w:ascii="宋体" w:hAnsi="宋体" w:eastAsia="宋体"/>
          <w:sz w:val="24"/>
          <w:szCs w:val="24"/>
          <w:highlight w:val="none"/>
        </w:rPr>
        <w:t>法人授权委托书（质疑人或法人委托代理人办理质疑事务的，应当提供法定代表人授权委托书，授权委托书应当载明委托代理的具体权限和事项）。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34.3 公告期内如有质疑，代理机构将依法给与答复，并以书面（或网上公告）的形式将结果告知所有当事人。</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35.时限定义</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35.1 对可以质疑的竞争性磋商文件提出质疑的，为收到竞争性磋商文件之日或者竞争性磋商文件公告期限届满之日；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35.2 对</w:t>
      </w:r>
      <w:r>
        <w:rPr>
          <w:rFonts w:hint="eastAsia" w:ascii="宋体" w:hAnsi="宋体" w:eastAsia="宋体"/>
          <w:sz w:val="24"/>
          <w:szCs w:val="24"/>
          <w:highlight w:val="none"/>
        </w:rPr>
        <w:t>采购</w:t>
      </w:r>
      <w:r>
        <w:rPr>
          <w:rFonts w:ascii="宋体" w:hAnsi="宋体" w:eastAsia="宋体"/>
          <w:sz w:val="24"/>
          <w:szCs w:val="24"/>
          <w:highlight w:val="none"/>
        </w:rPr>
        <w:t>过程提出质疑的，为各</w:t>
      </w:r>
      <w:r>
        <w:rPr>
          <w:rFonts w:hint="eastAsia" w:ascii="宋体" w:hAnsi="宋体" w:eastAsia="宋体"/>
          <w:sz w:val="24"/>
          <w:szCs w:val="24"/>
          <w:highlight w:val="none"/>
        </w:rPr>
        <w:t>采购</w:t>
      </w:r>
      <w:r>
        <w:rPr>
          <w:rFonts w:ascii="宋体" w:hAnsi="宋体" w:eastAsia="宋体"/>
          <w:sz w:val="24"/>
          <w:szCs w:val="24"/>
          <w:highlight w:val="none"/>
        </w:rPr>
        <w:t>程序环节结束之日；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35.3 对成交结果提出质疑的，为成交公告期限届满之日。</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36.不予受理情形</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36.1 供应商未按本章“质疑及投诉”规定的时限、内容及方式进行质疑的，代理机构不予受理。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36.2 有下列情况之一的，属于无效质疑，采购人或代理机构不予受理：</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36.2.1 未在有效期限内提出质疑的；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36.2.2 质疑函未以书面形式提出的；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36.2.3 所提交的材料未明示属于质疑材料的；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36.2.4 质疑函没有法定代表人签字和加盖公章的，委托代理人提出质疑的没有法定代表人及委托代理人签字的和加盖公章的；质疑函没有由参加采购项目的委托代理人的姓名和联系方式的；没有法定代表人特别授权的；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36.2.5 质疑事项已经进入投诉或者行政复议或者诉讼程序的；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36.2.6 质疑函没附有相关证明材料的，被视为无效证据支持的；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36.2.7 供应商对竞争性磋商文件条例 技术商务 参数要求有异议，未在递交文件截止时间前通过澄清修改程序提出；</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36.2.8 其他不符合受理条件的情况。</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37.</w:t>
      </w:r>
      <w:r>
        <w:rPr>
          <w:rFonts w:hint="eastAsia" w:ascii="宋体" w:hAnsi="宋体" w:eastAsia="宋体"/>
          <w:sz w:val="24"/>
          <w:szCs w:val="24"/>
          <w:highlight w:val="none"/>
        </w:rPr>
        <w:t>质疑回复</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37.1 采购人或采购代理机构应在收到供应商的书面质疑后7个工作日内作出答复，并以书面形式通知质疑供应商和其他有关供应商，但答复内容不得涉及商业秘密。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37.2 质疑答复应当包括下列内容：</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37.2.1</w:t>
      </w:r>
      <w:r>
        <w:rPr>
          <w:rFonts w:hint="eastAsia" w:ascii="宋体" w:hAnsi="宋体" w:eastAsia="宋体"/>
          <w:sz w:val="24"/>
          <w:szCs w:val="24"/>
          <w:highlight w:val="none"/>
        </w:rPr>
        <w:t xml:space="preserve"> </w:t>
      </w:r>
      <w:r>
        <w:rPr>
          <w:rFonts w:ascii="宋体" w:hAnsi="宋体" w:eastAsia="宋体"/>
          <w:sz w:val="24"/>
          <w:szCs w:val="24"/>
          <w:highlight w:val="none"/>
        </w:rPr>
        <w:t>质疑人的名称、地址、联系人及联系电话；</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37.2.2</w:t>
      </w:r>
      <w:r>
        <w:rPr>
          <w:rFonts w:hint="eastAsia" w:ascii="宋体" w:hAnsi="宋体" w:eastAsia="宋体"/>
          <w:sz w:val="24"/>
          <w:szCs w:val="24"/>
          <w:highlight w:val="none"/>
        </w:rPr>
        <w:t xml:space="preserve"> </w:t>
      </w:r>
      <w:r>
        <w:rPr>
          <w:rFonts w:ascii="宋体" w:hAnsi="宋体" w:eastAsia="宋体"/>
          <w:sz w:val="24"/>
          <w:szCs w:val="24"/>
          <w:highlight w:val="none"/>
        </w:rPr>
        <w:t>采购人或采购代理机构的名称、地址、联系人及联系电话；</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37.2.3</w:t>
      </w:r>
      <w:r>
        <w:rPr>
          <w:rFonts w:hint="eastAsia" w:ascii="宋体" w:hAnsi="宋体" w:eastAsia="宋体"/>
          <w:sz w:val="24"/>
          <w:szCs w:val="24"/>
          <w:highlight w:val="none"/>
        </w:rPr>
        <w:t xml:space="preserve"> </w:t>
      </w:r>
      <w:r>
        <w:rPr>
          <w:rFonts w:ascii="宋体" w:hAnsi="宋体" w:eastAsia="宋体"/>
          <w:sz w:val="24"/>
          <w:szCs w:val="24"/>
          <w:highlight w:val="none"/>
        </w:rPr>
        <w:t>受理质疑的日期、质疑项目名称及编号、质疑事项；</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37.2.4</w:t>
      </w:r>
      <w:r>
        <w:rPr>
          <w:rFonts w:hint="eastAsia" w:ascii="宋体" w:hAnsi="宋体" w:eastAsia="宋体"/>
          <w:sz w:val="24"/>
          <w:szCs w:val="24"/>
          <w:highlight w:val="none"/>
        </w:rPr>
        <w:t xml:space="preserve"> </w:t>
      </w:r>
      <w:r>
        <w:rPr>
          <w:rFonts w:ascii="宋体" w:hAnsi="宋体" w:eastAsia="宋体"/>
          <w:sz w:val="24"/>
          <w:szCs w:val="24"/>
          <w:highlight w:val="none"/>
        </w:rPr>
        <w:t>质疑事项答复的具体情况及事实根据、法律依据；</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37.2.5</w:t>
      </w:r>
      <w:r>
        <w:rPr>
          <w:rFonts w:hint="eastAsia" w:ascii="宋体" w:hAnsi="宋体" w:eastAsia="宋体"/>
          <w:sz w:val="24"/>
          <w:szCs w:val="24"/>
          <w:highlight w:val="none"/>
        </w:rPr>
        <w:t xml:space="preserve"> </w:t>
      </w:r>
      <w:r>
        <w:rPr>
          <w:rFonts w:ascii="宋体" w:hAnsi="宋体" w:eastAsia="宋体"/>
          <w:sz w:val="24"/>
          <w:szCs w:val="24"/>
          <w:highlight w:val="none"/>
        </w:rPr>
        <w:t>告知质疑人依法投诉的权利和投诉方式；</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37.2.6</w:t>
      </w:r>
      <w:r>
        <w:rPr>
          <w:rFonts w:hint="eastAsia" w:ascii="宋体" w:hAnsi="宋体" w:eastAsia="宋体"/>
          <w:sz w:val="24"/>
          <w:szCs w:val="24"/>
          <w:highlight w:val="none"/>
        </w:rPr>
        <w:t xml:space="preserve"> </w:t>
      </w:r>
      <w:r>
        <w:rPr>
          <w:rFonts w:ascii="宋体" w:hAnsi="宋体" w:eastAsia="宋体"/>
          <w:sz w:val="24"/>
          <w:szCs w:val="24"/>
          <w:highlight w:val="none"/>
        </w:rPr>
        <w:t>质疑答复日期。</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38.投诉</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38.1 质疑供应商对采购人、采购代理机构的答复不满意或者采购人、采购代理机构未在规定的时间内作出答复的，可以在答复期满后15个工作日内向同级政府采购监督管理部门投诉。供应商投诉应当有明确的请求和必要的证明材料，且投诉的事项不得超出已质疑事项的范围。</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38.2 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p>
      <w:pPr>
        <w:pStyle w:val="4"/>
        <w:jc w:val="center"/>
        <w:rPr>
          <w:sz w:val="32"/>
          <w:highlight w:val="none"/>
        </w:rPr>
      </w:pPr>
      <w:bookmarkStart w:id="45" w:name="_Toc65158789"/>
      <w:r>
        <w:rPr>
          <w:sz w:val="32"/>
          <w:highlight w:val="none"/>
        </w:rPr>
        <w:t>无效</w:t>
      </w:r>
      <w:r>
        <w:rPr>
          <w:rFonts w:hint="eastAsia"/>
          <w:sz w:val="32"/>
          <w:highlight w:val="none"/>
        </w:rPr>
        <w:t>与终止</w:t>
      </w:r>
      <w:bookmarkEnd w:id="45"/>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39.</w:t>
      </w:r>
      <w:r>
        <w:rPr>
          <w:rFonts w:hint="eastAsia" w:ascii="宋体" w:hAnsi="宋体" w:eastAsia="宋体"/>
          <w:sz w:val="24"/>
          <w:szCs w:val="24"/>
          <w:highlight w:val="none"/>
        </w:rPr>
        <w:t>无效响应指的是供应商递交的竞争性磋商响应文件未通过资格性审查及符合性审查的情形，具体要求详见本竞争性磋商文件资格性审查及符合性审查相关要求。</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40.</w:t>
      </w:r>
      <w:r>
        <w:rPr>
          <w:rFonts w:hint="eastAsia" w:ascii="宋体" w:hAnsi="宋体" w:eastAsia="宋体"/>
          <w:sz w:val="24"/>
          <w:szCs w:val="24"/>
          <w:highlight w:val="none"/>
        </w:rPr>
        <w:t>项目终止。出现下列情形之一的，采购人或者采购代理机构应当终止竞争性磋商采购活动，发布项目终止公告并说明原因，重新开展采购活动：</w:t>
      </w:r>
    </w:p>
    <w:p>
      <w:pPr>
        <w:adjustRightInd w:val="0"/>
        <w:snapToGrid w:val="0"/>
        <w:spacing w:line="360" w:lineRule="auto"/>
        <w:ind w:left="600" w:hanging="600" w:hangingChars="250"/>
        <w:jc w:val="left"/>
        <w:rPr>
          <w:rFonts w:ascii="宋体" w:hAnsi="宋体" w:eastAsia="宋体"/>
          <w:sz w:val="24"/>
          <w:szCs w:val="24"/>
          <w:highlight w:val="none"/>
        </w:rPr>
      </w:pPr>
      <w:r>
        <w:rPr>
          <w:rFonts w:hint="eastAsia" w:ascii="宋体" w:hAnsi="宋体" w:eastAsia="宋体"/>
          <w:sz w:val="24"/>
          <w:szCs w:val="24"/>
          <w:highlight w:val="none"/>
        </w:rPr>
        <w:t>4</w:t>
      </w:r>
      <w:r>
        <w:rPr>
          <w:rFonts w:ascii="宋体" w:hAnsi="宋体" w:eastAsia="宋体"/>
          <w:sz w:val="24"/>
          <w:szCs w:val="24"/>
          <w:highlight w:val="none"/>
        </w:rPr>
        <w:t>0</w:t>
      </w:r>
      <w:r>
        <w:rPr>
          <w:rFonts w:hint="eastAsia" w:ascii="宋体" w:hAnsi="宋体" w:eastAsia="宋体"/>
          <w:sz w:val="24"/>
          <w:szCs w:val="24"/>
          <w:highlight w:val="none"/>
        </w:rPr>
        <w:t>.</w:t>
      </w:r>
      <w:r>
        <w:rPr>
          <w:rFonts w:ascii="宋体" w:hAnsi="宋体" w:eastAsia="宋体"/>
          <w:sz w:val="24"/>
          <w:szCs w:val="24"/>
          <w:highlight w:val="none"/>
        </w:rPr>
        <w:t xml:space="preserve">1 </w:t>
      </w:r>
      <w:r>
        <w:rPr>
          <w:rFonts w:hint="eastAsia" w:ascii="宋体" w:hAnsi="宋体" w:eastAsia="宋体"/>
          <w:sz w:val="24"/>
          <w:szCs w:val="24"/>
          <w:highlight w:val="none"/>
        </w:rPr>
        <w:t>因情况变化，不再符合规定的竞争性磋商采购方式适用情形的；</w:t>
      </w:r>
    </w:p>
    <w:p>
      <w:pPr>
        <w:adjustRightInd w:val="0"/>
        <w:snapToGrid w:val="0"/>
        <w:spacing w:line="360" w:lineRule="auto"/>
        <w:ind w:left="600" w:hanging="600" w:hangingChars="250"/>
        <w:jc w:val="left"/>
        <w:rPr>
          <w:rFonts w:ascii="宋体" w:hAnsi="宋体" w:eastAsia="宋体"/>
          <w:sz w:val="24"/>
          <w:szCs w:val="24"/>
          <w:highlight w:val="none"/>
        </w:rPr>
      </w:pPr>
      <w:r>
        <w:rPr>
          <w:rFonts w:hint="eastAsia" w:ascii="宋体" w:hAnsi="宋体" w:eastAsia="宋体"/>
          <w:sz w:val="24"/>
          <w:szCs w:val="24"/>
          <w:highlight w:val="none"/>
        </w:rPr>
        <w:t>4</w:t>
      </w:r>
      <w:r>
        <w:rPr>
          <w:rFonts w:ascii="宋体" w:hAnsi="宋体" w:eastAsia="宋体"/>
          <w:sz w:val="24"/>
          <w:szCs w:val="24"/>
          <w:highlight w:val="none"/>
        </w:rPr>
        <w:t>0</w:t>
      </w:r>
      <w:r>
        <w:rPr>
          <w:rFonts w:hint="eastAsia" w:ascii="宋体" w:hAnsi="宋体" w:eastAsia="宋体"/>
          <w:sz w:val="24"/>
          <w:szCs w:val="24"/>
          <w:highlight w:val="none"/>
        </w:rPr>
        <w:t>.</w:t>
      </w:r>
      <w:r>
        <w:rPr>
          <w:rFonts w:ascii="宋体" w:hAnsi="宋体" w:eastAsia="宋体"/>
          <w:sz w:val="24"/>
          <w:szCs w:val="24"/>
          <w:highlight w:val="none"/>
        </w:rPr>
        <w:t xml:space="preserve">2 </w:t>
      </w:r>
      <w:r>
        <w:rPr>
          <w:rFonts w:hint="eastAsia" w:ascii="宋体" w:hAnsi="宋体" w:eastAsia="宋体"/>
          <w:sz w:val="24"/>
          <w:szCs w:val="24"/>
          <w:highlight w:val="none"/>
        </w:rPr>
        <w:t>出现影响采购公正的违法、违规行为的。</w:t>
      </w:r>
    </w:p>
    <w:p>
      <w:pPr>
        <w:pStyle w:val="4"/>
        <w:jc w:val="center"/>
        <w:rPr>
          <w:sz w:val="32"/>
          <w:highlight w:val="none"/>
        </w:rPr>
      </w:pPr>
      <w:bookmarkStart w:id="46" w:name="_Toc65158790"/>
      <w:r>
        <w:rPr>
          <w:rFonts w:hint="eastAsia"/>
          <w:sz w:val="32"/>
          <w:highlight w:val="none"/>
        </w:rPr>
        <w:t>纪律与监督</w:t>
      </w:r>
      <w:bookmarkEnd w:id="46"/>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41.对采购人和采购代理机构的纪律要求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41.1 采购人和采购代理机构不得相互串通损害国家利益、社会公共利益和其他当事人的合法权益；不得以任何手段排斥其他供应商参与竞争。</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41.2 采购人和采购代理机构不得向供应商索要或者接受其给予的赠品、回扣或者与采购无关的其他商品、服务。</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41.3 采购人和采购代理机构工作人员不得接受供应商组织的宴请、旅游、娱乐，不得收受礼品、现金、有价证券等，不得向供应商报销应当由个人承担的费用。</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41.4 采购人可以根据采购项目的特殊要求，规定供应商的特定</w:t>
      </w:r>
      <w:r>
        <w:rPr>
          <w:rFonts w:hint="eastAsia" w:ascii="宋体" w:hAnsi="宋体" w:eastAsia="宋体"/>
          <w:sz w:val="24"/>
          <w:szCs w:val="24"/>
          <w:highlight w:val="none"/>
        </w:rPr>
        <w:t>资格要求</w:t>
      </w:r>
      <w:r>
        <w:rPr>
          <w:rFonts w:ascii="宋体" w:hAnsi="宋体" w:eastAsia="宋体"/>
          <w:sz w:val="24"/>
          <w:szCs w:val="24"/>
          <w:highlight w:val="none"/>
        </w:rPr>
        <w:t>条件，但不得以不合理的条件对供应商实行差别待遇或者歧视待遇。</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41.5 采购人和采购代理机构不得向他人透露已获取竞争性磋商文件的潜在供应商的名称、数量以及可能影响公平竞争的有关</w:t>
      </w:r>
      <w:r>
        <w:rPr>
          <w:rFonts w:hint="eastAsia" w:ascii="宋体" w:hAnsi="宋体" w:eastAsia="宋体"/>
          <w:sz w:val="24"/>
          <w:szCs w:val="24"/>
          <w:highlight w:val="none"/>
        </w:rPr>
        <w:t>磋商</w:t>
      </w:r>
      <w:r>
        <w:rPr>
          <w:rFonts w:ascii="宋体" w:hAnsi="宋体" w:eastAsia="宋体"/>
          <w:sz w:val="24"/>
          <w:szCs w:val="24"/>
          <w:highlight w:val="none"/>
        </w:rPr>
        <w:t>的其他情况。</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41.6 采购人和采购代理机构不得向磋商小组的评审专家作倾向性、误导性的解释或者说明。</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41.7 采购人或者采购代理机构不得通过对样品进行检测、对供应商进行考察等方式改变评审结果。</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41.8 采购人和采购代理机构不得向成交供应商提出任何不合理的要求，作为签订合同的 条件，不得与成交供应商私下订立背离合同实质性内容的协议。</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42.对供应商的纪律要求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42.1 供应商不得以向采购人、采购代理机构、磋商小组的组成人员行贿或者提供虚假材料以及采取其他不正当手段谋取成交。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42.2 供应商之间不得相互串通磋商报价，不得妨碍其他供应商的公平竞争，不得损害政府采购活动各当事人的合法权益。</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42.3 供应商不得非法干预、影响评审办法的确定，以及评审过程和结果。</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43.对磋商小组成员的纪律要求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43.1 磋商小组成员与供应商有利害关系的，必须回避。</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43.2 磋商小组成员应当遵守评审工作纪律，不得泄露评审文件、评审情况和评审中获悉的商业秘密。在评审过程中发现供应商有行贿、提供虚假材料或者串通等违法行为的，应当及时向财政部门报告。政府采购评审专家在评审过程中受到非法干预的，应当及时向财政、监察等部门举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43.3 磋商小组成员应当按照客观、公正、审慎的原则，根据竞争性磋商文件规定的评审程序、评审方法和评审标准进行独立评审。竞争性磋商文件内容违反国家有关强制性规定的，磋商小组应当停止评审并向采购人或者采购代理机构说明情况。竞争性磋商文件中没有规定的评审标准不得作为评审的依据。磋商小组成员应当在评审报告上签字，对自己的评审意见承担法律责任。对评审报告有异议的，应当在评审报告上签署不同意见，并说明理由，否则视为同意评审报告。</w:t>
      </w:r>
    </w:p>
    <w:p>
      <w:pPr>
        <w:pStyle w:val="4"/>
        <w:jc w:val="center"/>
        <w:rPr>
          <w:sz w:val="32"/>
          <w:highlight w:val="none"/>
        </w:rPr>
      </w:pPr>
      <w:bookmarkStart w:id="47" w:name="_Toc65158791"/>
      <w:r>
        <w:rPr>
          <w:rFonts w:hint="eastAsia"/>
          <w:sz w:val="32"/>
          <w:highlight w:val="none"/>
        </w:rPr>
        <w:t>条文解读</w:t>
      </w:r>
      <w:bookmarkEnd w:id="47"/>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44.政府采购法第二十二条第五项所称重大违法记录，是指供应商因违法经营受到刑事处罚或者责令停产停业、吊销许可证或者执照、较大数额罚款等行政处罚。</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45.按照财政部《关于规范政府采购行政处罚有关问题的通知》的规定，各级人民政府财政部门依法对参加政府采购活动的供应商作出的禁止参加政府采购活动等行政处罚决定在全国范围内生效。</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46.供应商在参加政府采购活动前3年内因违法经营被禁止在一定期限内参加政府采购活动，期限届满的，可以参加政府采购活动。</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47.根据财政部《中华人民共和国政府采购法实施条例》释义中关于供应商资格条件的解释，对于银行、保险、石油石化、电力、电信等有行业特殊情况的，采购人和代理机构允许其分支机构参与</w:t>
      </w:r>
      <w:r>
        <w:rPr>
          <w:rFonts w:hint="eastAsia" w:ascii="宋体" w:hAnsi="宋体" w:eastAsia="宋体"/>
          <w:sz w:val="24"/>
          <w:szCs w:val="24"/>
          <w:highlight w:val="none"/>
        </w:rPr>
        <w:t>磋商</w:t>
      </w:r>
      <w:r>
        <w:rPr>
          <w:rFonts w:ascii="宋体" w:hAnsi="宋体" w:eastAsia="宋体"/>
          <w:sz w:val="24"/>
          <w:szCs w:val="24"/>
          <w:highlight w:val="none"/>
        </w:rPr>
        <w:t>。</w:t>
      </w:r>
    </w:p>
    <w:p>
      <w:pPr>
        <w:pStyle w:val="4"/>
        <w:jc w:val="center"/>
        <w:rPr>
          <w:sz w:val="32"/>
          <w:highlight w:val="none"/>
        </w:rPr>
      </w:pPr>
      <w:bookmarkStart w:id="48" w:name="_Toc65158792"/>
      <w:r>
        <w:rPr>
          <w:rFonts w:hint="eastAsia"/>
          <w:sz w:val="32"/>
          <w:highlight w:val="none"/>
        </w:rPr>
        <w:t>注意事项</w:t>
      </w:r>
      <w:bookmarkEnd w:id="48"/>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48.单位负责人为同一人或者存在直接控股、管理关系的不同供应商，不得参加同一合同项下的政府采购活动。</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49.除单一来源采购项目外，为采购项目提供整体设计、规范编制或者项目管理、监理、检测等服务的供应商，不得再参加该采购项目的其他采购活动。</w:t>
      </w:r>
    </w:p>
    <w:p>
      <w:pPr>
        <w:pStyle w:val="4"/>
        <w:jc w:val="center"/>
        <w:rPr>
          <w:sz w:val="32"/>
          <w:highlight w:val="none"/>
        </w:rPr>
      </w:pPr>
      <w:bookmarkStart w:id="49" w:name="_Toc65158793"/>
      <w:r>
        <w:rPr>
          <w:rFonts w:hint="eastAsia"/>
          <w:sz w:val="32"/>
          <w:highlight w:val="none"/>
        </w:rPr>
        <w:t>适用法律</w:t>
      </w:r>
      <w:bookmarkEnd w:id="49"/>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50.采购人、代理机构及供应商的一切</w:t>
      </w:r>
      <w:r>
        <w:rPr>
          <w:rFonts w:hint="eastAsia" w:ascii="宋体" w:hAnsi="宋体" w:eastAsia="宋体"/>
          <w:sz w:val="24"/>
          <w:szCs w:val="24"/>
          <w:highlight w:val="none"/>
        </w:rPr>
        <w:t>采购</w:t>
      </w:r>
      <w:r>
        <w:rPr>
          <w:rFonts w:ascii="宋体" w:hAnsi="宋体" w:eastAsia="宋体"/>
          <w:sz w:val="24"/>
          <w:szCs w:val="24"/>
          <w:highlight w:val="none"/>
        </w:rPr>
        <w:t>活动均适用《中华人民共和国政府采购法》、《中华人民共和国政府采购法实施条例》、《</w:t>
      </w:r>
      <w:r>
        <w:rPr>
          <w:rFonts w:hint="eastAsia" w:ascii="宋体" w:hAnsi="宋体" w:eastAsia="宋体"/>
          <w:sz w:val="24"/>
          <w:szCs w:val="24"/>
          <w:highlight w:val="none"/>
        </w:rPr>
        <w:t>政府采购竞争性磋商采购方式管理暂行办法</w:t>
      </w:r>
      <w:r>
        <w:rPr>
          <w:rFonts w:ascii="宋体" w:hAnsi="宋体" w:eastAsia="宋体"/>
          <w:sz w:val="24"/>
          <w:szCs w:val="24"/>
          <w:highlight w:val="none"/>
        </w:rPr>
        <w:t>》及相关法律法规。</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51.政府采购合同的履行、违约责任和解决争议的方法等适用《合同法》。</w:t>
      </w:r>
    </w:p>
    <w:p>
      <w:pPr>
        <w:pStyle w:val="4"/>
        <w:jc w:val="center"/>
        <w:rPr>
          <w:sz w:val="32"/>
          <w:highlight w:val="none"/>
        </w:rPr>
      </w:pPr>
      <w:bookmarkStart w:id="50" w:name="_Toc65158794"/>
      <w:r>
        <w:rPr>
          <w:rFonts w:hint="eastAsia"/>
          <w:sz w:val="32"/>
          <w:highlight w:val="none"/>
        </w:rPr>
        <w:t>解释权</w:t>
      </w:r>
      <w:bookmarkEnd w:id="50"/>
    </w:p>
    <w:p>
      <w:pPr>
        <w:adjustRightInd w:val="0"/>
        <w:snapToGrid w:val="0"/>
        <w:spacing w:line="360" w:lineRule="auto"/>
        <w:rPr>
          <w:rFonts w:ascii="宋体" w:hAnsi="宋体" w:eastAsia="宋体"/>
          <w:sz w:val="24"/>
          <w:szCs w:val="24"/>
          <w:highlight w:val="none"/>
        </w:rPr>
      </w:pPr>
      <w:r>
        <w:rPr>
          <w:rFonts w:hint="eastAsia" w:ascii="宋体" w:hAnsi="宋体" w:eastAsia="宋体"/>
          <w:sz w:val="24"/>
          <w:szCs w:val="24"/>
          <w:highlight w:val="none"/>
        </w:rPr>
        <w:t>5</w:t>
      </w:r>
      <w:r>
        <w:rPr>
          <w:rFonts w:ascii="宋体" w:hAnsi="宋体" w:eastAsia="宋体"/>
          <w:sz w:val="24"/>
          <w:szCs w:val="24"/>
          <w:highlight w:val="none"/>
        </w:rPr>
        <w:t>2.</w:t>
      </w:r>
      <w:r>
        <w:rPr>
          <w:rFonts w:hint="eastAsia" w:ascii="宋体" w:hAnsi="宋体" w:eastAsia="宋体"/>
          <w:sz w:val="24"/>
          <w:szCs w:val="24"/>
          <w:highlight w:val="none"/>
        </w:rPr>
        <w:t>竞争性磋商文件的最终解释权为采购人和代理机构所有。</w:t>
      </w:r>
    </w:p>
    <w:bookmarkEnd w:id="21"/>
    <w:p>
      <w:pPr>
        <w:rPr>
          <w:highlight w:val="none"/>
        </w:rPr>
      </w:pPr>
      <w:bookmarkStart w:id="51" w:name="_Toc511889429"/>
      <w:bookmarkStart w:id="52" w:name="_Toc511894507"/>
      <w:bookmarkStart w:id="53" w:name="_Toc2782577"/>
      <w:bookmarkStart w:id="54" w:name="_Toc38457836"/>
      <w:r>
        <w:rPr>
          <w:highlight w:val="none"/>
        </w:rPr>
        <w:br w:type="page"/>
      </w:r>
    </w:p>
    <w:bookmarkEnd w:id="51"/>
    <w:bookmarkEnd w:id="52"/>
    <w:bookmarkEnd w:id="53"/>
    <w:bookmarkEnd w:id="54"/>
    <w:p>
      <w:pPr>
        <w:pStyle w:val="3"/>
        <w:jc w:val="center"/>
        <w:rPr>
          <w:sz w:val="36"/>
          <w:szCs w:val="36"/>
          <w:highlight w:val="none"/>
        </w:rPr>
      </w:pPr>
      <w:bookmarkStart w:id="55" w:name="_Toc65158795"/>
      <w:r>
        <w:rPr>
          <w:rFonts w:hint="eastAsia"/>
          <w:sz w:val="36"/>
          <w:szCs w:val="36"/>
          <w:highlight w:val="none"/>
        </w:rPr>
        <w:t>项目需求书</w:t>
      </w:r>
      <w:bookmarkEnd w:id="55"/>
      <w:bookmarkStart w:id="56" w:name="_Hlk38456025"/>
    </w:p>
    <w:bookmarkEnd w:id="56"/>
    <w:p>
      <w:pPr>
        <w:pStyle w:val="4"/>
        <w:jc w:val="center"/>
        <w:rPr>
          <w:sz w:val="32"/>
          <w:highlight w:val="none"/>
        </w:rPr>
      </w:pPr>
      <w:bookmarkStart w:id="57" w:name="_Toc494561953"/>
      <w:bookmarkStart w:id="58" w:name="_Toc511894509"/>
      <w:bookmarkStart w:id="59" w:name="_Toc2782579"/>
      <w:bookmarkStart w:id="60" w:name="_Toc65158796"/>
      <w:bookmarkStart w:id="61" w:name="_Toc38457837"/>
      <w:bookmarkStart w:id="62" w:name="_Toc511889431"/>
      <w:bookmarkStart w:id="63" w:name="_Toc511889430"/>
      <w:bookmarkStart w:id="64" w:name="_Toc2782578"/>
      <w:bookmarkStart w:id="65" w:name="_Toc511894508"/>
      <w:bookmarkStart w:id="66" w:name="_Toc494561952"/>
      <w:bookmarkStart w:id="67" w:name="_Toc339378679"/>
      <w:bookmarkStart w:id="68" w:name="_Toc338065593"/>
      <w:r>
        <w:rPr>
          <w:rFonts w:hint="eastAsia"/>
          <w:sz w:val="32"/>
          <w:highlight w:val="none"/>
        </w:rPr>
        <w:t>项目背景概述</w:t>
      </w:r>
      <w:bookmarkEnd w:id="57"/>
      <w:bookmarkEnd w:id="58"/>
      <w:bookmarkEnd w:id="59"/>
      <w:bookmarkEnd w:id="60"/>
      <w:bookmarkEnd w:id="61"/>
      <w:bookmarkEnd w:id="62"/>
    </w:p>
    <w:p>
      <w:pPr>
        <w:spacing w:line="360" w:lineRule="auto"/>
        <w:ind w:firstLine="480" w:firstLineChars="200"/>
        <w:rPr>
          <w:rFonts w:hint="eastAsia" w:ascii="宋体" w:hAnsi="宋体" w:eastAsia="宋体" w:cs="宋体"/>
          <w:color w:val="0D0D0D"/>
          <w:sz w:val="24"/>
          <w:szCs w:val="24"/>
          <w:highlight w:val="none"/>
          <w:lang w:val="en-US" w:eastAsia="zh-CN"/>
        </w:rPr>
      </w:pPr>
      <w:r>
        <w:rPr>
          <w:rFonts w:hint="eastAsia" w:ascii="宋体" w:hAnsi="宋体" w:eastAsia="宋体" w:cs="宋体"/>
          <w:i w:val="0"/>
          <w:iCs w:val="0"/>
          <w:caps w:val="0"/>
          <w:color w:val="000000"/>
          <w:spacing w:val="0"/>
          <w:sz w:val="24"/>
          <w:szCs w:val="24"/>
          <w:highlight w:val="none"/>
          <w:lang w:val="en-US" w:eastAsia="zh-CN"/>
        </w:rPr>
        <w:t>湖北科技学院药学院2021年医药工程学科群项目新增资产，采购设备一批。本项目分为两个包，具体要求详见采购清单。</w:t>
      </w:r>
    </w:p>
    <w:p>
      <w:pPr>
        <w:widowControl/>
        <w:jc w:val="left"/>
        <w:rPr>
          <w:rFonts w:ascii="Times New Roman" w:hAnsi="Times New Roman" w:eastAsia="黑体" w:cstheme="majorBidi"/>
          <w:bCs/>
          <w:sz w:val="32"/>
          <w:szCs w:val="32"/>
          <w:highlight w:val="none"/>
        </w:rPr>
      </w:pPr>
      <w:bookmarkStart w:id="69" w:name="_Toc38457838"/>
      <w:r>
        <w:rPr>
          <w:sz w:val="32"/>
          <w:highlight w:val="none"/>
        </w:rPr>
        <w:br w:type="page"/>
      </w:r>
    </w:p>
    <w:p>
      <w:pPr>
        <w:pStyle w:val="4"/>
        <w:jc w:val="center"/>
        <w:rPr>
          <w:sz w:val="32"/>
          <w:highlight w:val="none"/>
        </w:rPr>
      </w:pPr>
      <w:bookmarkStart w:id="70" w:name="_Toc65158797"/>
      <w:r>
        <w:rPr>
          <w:rFonts w:hint="eastAsia"/>
          <w:sz w:val="32"/>
          <w:highlight w:val="none"/>
        </w:rPr>
        <w:t>项目采购清单</w:t>
      </w:r>
      <w:bookmarkEnd w:id="63"/>
      <w:bookmarkEnd w:id="64"/>
      <w:bookmarkEnd w:id="65"/>
      <w:bookmarkEnd w:id="66"/>
      <w:bookmarkEnd w:id="69"/>
      <w:bookmarkEnd w:id="70"/>
    </w:p>
    <w:bookmarkEnd w:id="67"/>
    <w:bookmarkEnd w:id="68"/>
    <w:p>
      <w:pPr>
        <w:spacing w:line="360" w:lineRule="auto"/>
        <w:jc w:val="center"/>
        <w:rPr>
          <w:rFonts w:hint="eastAsia"/>
          <w:b/>
          <w:bCs/>
          <w:sz w:val="24"/>
          <w:szCs w:val="24"/>
          <w:highlight w:val="none"/>
        </w:rPr>
      </w:pPr>
      <w:bookmarkStart w:id="71" w:name="_Hlk38619712"/>
      <w:bookmarkStart w:id="72" w:name="_Toc339378680"/>
      <w:bookmarkStart w:id="73" w:name="_Toc338065594"/>
      <w:r>
        <w:rPr>
          <w:rFonts w:hint="eastAsia"/>
          <w:b/>
          <w:bCs/>
          <w:sz w:val="24"/>
          <w:szCs w:val="24"/>
          <w:highlight w:val="none"/>
        </w:rPr>
        <w:t>项目采购清单一览表</w:t>
      </w:r>
      <w:bookmarkEnd w:id="71"/>
    </w:p>
    <w:p>
      <w:pPr>
        <w:adjustRightInd w:val="0"/>
        <w:snapToGrid w:val="0"/>
        <w:ind w:left="-88" w:leftChars="-42"/>
        <w:jc w:val="left"/>
        <w:rPr>
          <w:rFonts w:hint="eastAsia" w:ascii="宋体"/>
          <w:b/>
          <w:bCs/>
          <w:color w:val="000000"/>
          <w:sz w:val="24"/>
          <w:szCs w:val="24"/>
          <w:highlight w:val="none"/>
          <w:lang w:eastAsia="zh-CN"/>
        </w:rPr>
      </w:pPr>
      <w:r>
        <w:rPr>
          <w:rFonts w:hint="eastAsia" w:ascii="宋体"/>
          <w:b/>
          <w:bCs/>
          <w:color w:val="000000"/>
          <w:sz w:val="24"/>
          <w:szCs w:val="24"/>
          <w:highlight w:val="none"/>
          <w:lang w:eastAsia="zh-CN"/>
        </w:rPr>
        <w:t>包一：</w:t>
      </w:r>
    </w:p>
    <w:tbl>
      <w:tblPr>
        <w:tblStyle w:val="32"/>
        <w:tblW w:w="468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19"/>
        <w:gridCol w:w="2616"/>
        <w:gridCol w:w="1433"/>
        <w:gridCol w:w="1433"/>
        <w:gridCol w:w="143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6" w:hRule="atLeast"/>
          <w:jc w:val="center"/>
        </w:trPr>
        <w:tc>
          <w:tcPr>
            <w:tcW w:w="949" w:type="pct"/>
            <w:tcBorders>
              <w:top w:val="single" w:color="auto" w:sz="4" w:space="0"/>
            </w:tcBorders>
            <w:shd w:val="clear" w:color="auto" w:fill="BEBEBE" w:themeFill="background1" w:themeFillShade="BF"/>
            <w:vAlign w:val="center"/>
          </w:tcPr>
          <w:p>
            <w:pPr>
              <w:adjustRightInd w:val="0"/>
              <w:snapToGrid w:val="0"/>
              <w:ind w:left="-88" w:leftChars="-42"/>
              <w:jc w:val="center"/>
              <w:rPr>
                <w:rFonts w:ascii="宋体"/>
                <w:color w:val="000000"/>
                <w:sz w:val="24"/>
                <w:szCs w:val="24"/>
                <w:highlight w:val="none"/>
              </w:rPr>
            </w:pPr>
            <w:bookmarkStart w:id="74" w:name="_Hlk38618982"/>
            <w:r>
              <w:rPr>
                <w:rFonts w:hint="eastAsia" w:ascii="宋体" w:hAnsi="宋体"/>
                <w:color w:val="000000"/>
                <w:sz w:val="24"/>
                <w:szCs w:val="24"/>
                <w:highlight w:val="none"/>
              </w:rPr>
              <w:t>序号</w:t>
            </w:r>
          </w:p>
        </w:tc>
        <w:tc>
          <w:tcPr>
            <w:tcW w:w="1532" w:type="pct"/>
            <w:tcBorders>
              <w:top w:val="single" w:color="auto" w:sz="4" w:space="0"/>
            </w:tcBorders>
            <w:shd w:val="clear" w:color="auto" w:fill="BEBEBE" w:themeFill="background1" w:themeFillShade="BF"/>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lang w:eastAsia="zh-CN"/>
              </w:rPr>
              <w:t>项目</w:t>
            </w:r>
            <w:r>
              <w:rPr>
                <w:rFonts w:hint="eastAsia" w:ascii="宋体" w:hAnsi="宋体"/>
                <w:color w:val="000000"/>
                <w:sz w:val="24"/>
                <w:szCs w:val="24"/>
                <w:highlight w:val="none"/>
              </w:rPr>
              <w:t>名称</w:t>
            </w:r>
          </w:p>
        </w:tc>
        <w:tc>
          <w:tcPr>
            <w:tcW w:w="839"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数量</w:t>
            </w:r>
          </w:p>
        </w:tc>
        <w:tc>
          <w:tcPr>
            <w:tcW w:w="839"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单位</w:t>
            </w:r>
          </w:p>
        </w:tc>
        <w:tc>
          <w:tcPr>
            <w:tcW w:w="839"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ascii="宋体" w:hAnsi="宋体"/>
                <w:color w:val="000000"/>
                <w:sz w:val="24"/>
                <w:szCs w:val="24"/>
                <w:highlight w:val="none"/>
              </w:rPr>
            </w:pPr>
            <w:r>
              <w:rPr>
                <w:rFonts w:ascii="宋体" w:hAnsi="宋体"/>
                <w:color w:val="000000"/>
                <w:sz w:val="24"/>
                <w:szCs w:val="24"/>
                <w:highlight w:val="none"/>
              </w:rPr>
              <w:t>1</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数显血液混匀器</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jc w:val="center"/>
              <w:rPr>
                <w:rFonts w:hint="eastAsia" w:ascii="宋体" w:eastAsiaTheme="minorEastAsia"/>
                <w:color w:val="000000"/>
                <w:sz w:val="24"/>
                <w:szCs w:val="24"/>
                <w:highlight w:val="none"/>
                <w:lang w:val="en-US" w:eastAsia="zh-CN"/>
              </w:rPr>
            </w:pPr>
            <w:r>
              <w:rPr>
                <w:rFonts w:hint="eastAsia" w:ascii="宋体"/>
                <w:color w:val="000000"/>
                <w:sz w:val="24"/>
                <w:szCs w:val="24"/>
                <w:highlight w:val="none"/>
                <w:lang w:val="en-US" w:eastAsia="zh-CN"/>
              </w:rPr>
              <w:t>台</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ascii="宋体" w:hAnsi="宋体"/>
                <w:color w:val="000000"/>
                <w:sz w:val="24"/>
                <w:szCs w:val="24"/>
                <w:highlight w:val="none"/>
              </w:rPr>
            </w:pPr>
            <w:r>
              <w:rPr>
                <w:rFonts w:ascii="宋体" w:hAnsi="宋体"/>
                <w:color w:val="000000"/>
                <w:sz w:val="24"/>
                <w:szCs w:val="24"/>
                <w:highlight w:val="none"/>
              </w:rPr>
              <w:t>2</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脱色摇床</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涡旋振荡仪</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eastAsia" w:ascii="宋体" w:hAnsi="宋体" w:eastAsiaTheme="minorEastAsia"/>
                <w:color w:val="000000"/>
                <w:sz w:val="24"/>
                <w:szCs w:val="24"/>
                <w:highlight w:val="none"/>
                <w:lang w:eastAsia="zh-CN"/>
              </w:rPr>
            </w:pPr>
            <w:r>
              <w:rPr>
                <w:rFonts w:hint="eastAsia" w:ascii="宋体" w:hAnsi="宋体"/>
                <w:color w:val="000000"/>
                <w:sz w:val="24"/>
                <w:szCs w:val="24"/>
                <w:highlight w:val="none"/>
                <w:lang w:val="en-US" w:eastAsia="zh-CN"/>
              </w:rPr>
              <w:t>4</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恒温金属浴</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jc w:val="center"/>
              <w:rPr>
                <w:rFonts w:hint="eastAsia" w:ascii="宋体" w:eastAsiaTheme="minorEastAsia"/>
                <w:color w:val="000000"/>
                <w:sz w:val="24"/>
                <w:szCs w:val="24"/>
                <w:highlight w:val="none"/>
                <w:lang w:eastAsia="zh-CN"/>
              </w:rPr>
            </w:pPr>
            <w:r>
              <w:rPr>
                <w:rFonts w:hint="eastAsia" w:ascii="宋体"/>
                <w:color w:val="000000"/>
                <w:sz w:val="24"/>
                <w:szCs w:val="24"/>
                <w:highlight w:val="none"/>
                <w:lang w:val="en-US" w:eastAsia="zh-CN"/>
              </w:rPr>
              <w:t>台</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5</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超微量分光光度计</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6</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小型蛋白质电泳仪</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7</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冰箱（一）</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8</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冰箱（二）</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9</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电子分析天平</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10</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多点数显磁力搅拌器</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11</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调温磁力加热板+温控探头</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12</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循环水真空泵</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13</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旋片真空泵</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14</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低温冷却液循环泵</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15</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旋转蒸发器</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16</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电热真空干燥箱</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17</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低温恒温反应浴槽</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18</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电动搅拌器</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19</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显微熔点测定仪</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20</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手动压钠机</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21</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旋转蒸发仪</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22</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低温冷却循环泵</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23</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静电纺丝仪</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24</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生化培养箱</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25</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半干转印槽</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26</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超声波细胞破碎仪</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27</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全自动液液萃取仪</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28</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冷冻干燥机</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29</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均质机</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30</w:t>
            </w:r>
          </w:p>
        </w:tc>
        <w:tc>
          <w:tcPr>
            <w:tcW w:w="2616"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药品稳定性试验箱</w:t>
            </w:r>
          </w:p>
        </w:tc>
        <w:tc>
          <w:tcPr>
            <w:tcW w:w="1433" w:type="dxa"/>
            <w:vAlign w:val="center"/>
          </w:tcPr>
          <w:p>
            <w:pPr>
              <w:keepNext w:val="0"/>
              <w:keepLines w:val="0"/>
              <w:widowControl/>
              <w:suppressLineNumbers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bl>
    <w:p>
      <w:pPr>
        <w:spacing w:line="360" w:lineRule="auto"/>
        <w:ind w:left="723" w:hanging="723" w:hangingChars="300"/>
        <w:rPr>
          <w:rFonts w:hint="eastAsia" w:ascii="宋体" w:hAnsi="宋体" w:eastAsia="宋体" w:cs="Times New Roman"/>
          <w:b/>
          <w:sz w:val="24"/>
          <w:szCs w:val="24"/>
          <w:highlight w:val="none"/>
          <w:lang w:val="zh-CN"/>
        </w:rPr>
      </w:pPr>
      <w:bookmarkStart w:id="210" w:name="_GoBack"/>
      <w:bookmarkEnd w:id="210"/>
    </w:p>
    <w:p>
      <w:pPr>
        <w:spacing w:line="360" w:lineRule="auto"/>
        <w:ind w:left="723" w:hanging="723" w:hangingChars="300"/>
        <w:rPr>
          <w:rFonts w:ascii="宋体" w:hAnsi="宋体" w:eastAsia="宋体" w:cs="Times New Roman"/>
          <w:sz w:val="24"/>
          <w:szCs w:val="24"/>
          <w:highlight w:val="none"/>
          <w:lang w:val="zh-CN"/>
        </w:rPr>
      </w:pPr>
      <w:r>
        <w:rPr>
          <w:rFonts w:hint="eastAsia" w:ascii="宋体" w:hAnsi="宋体" w:eastAsia="宋体" w:cs="Times New Roman"/>
          <w:b/>
          <w:sz w:val="24"/>
          <w:szCs w:val="24"/>
          <w:highlight w:val="none"/>
          <w:lang w:val="zh-CN"/>
        </w:rPr>
        <w:t>说明：</w:t>
      </w:r>
      <w:bookmarkEnd w:id="74"/>
      <w:r>
        <w:rPr>
          <w:rFonts w:hint="eastAsia" w:ascii="宋体" w:hAnsi="宋体" w:eastAsia="宋体" w:cs="Times New Roman"/>
          <w:b/>
          <w:sz w:val="24"/>
          <w:szCs w:val="24"/>
          <w:highlight w:val="none"/>
          <w:lang w:val="en-US" w:eastAsia="zh-CN"/>
        </w:rPr>
        <w:t>1</w:t>
      </w:r>
      <w:r>
        <w:rPr>
          <w:rFonts w:hint="eastAsia" w:ascii="宋体" w:hAnsi="宋体" w:eastAsia="宋体" w:cs="Times New Roman"/>
          <w:b/>
          <w:sz w:val="24"/>
          <w:szCs w:val="24"/>
          <w:highlight w:val="none"/>
          <w:lang w:val="zh-CN"/>
        </w:rPr>
        <w:t>、具体技术需求详见后续“三、技术要求”小结。</w:t>
      </w:r>
    </w:p>
    <w:bookmarkEnd w:id="72"/>
    <w:bookmarkEnd w:id="73"/>
    <w:p>
      <w:pPr>
        <w:widowControl/>
        <w:jc w:val="left"/>
        <w:rPr>
          <w:rFonts w:eastAsia="黑体" w:cs="Times New Roman" w:asciiTheme="majorEastAsia" w:hAnsiTheme="majorEastAsia"/>
          <w:sz w:val="30"/>
          <w:szCs w:val="30"/>
          <w:highlight w:val="none"/>
          <w:lang w:val="zh-CN"/>
        </w:rPr>
      </w:pPr>
      <w:bookmarkStart w:id="75" w:name="_Toc494561955"/>
      <w:bookmarkStart w:id="76" w:name="_Toc511889433"/>
      <w:bookmarkStart w:id="77" w:name="_Toc511894511"/>
      <w:bookmarkStart w:id="78" w:name="_Toc2782581"/>
      <w:r>
        <w:rPr>
          <w:rFonts w:cs="Times New Roman" w:asciiTheme="majorEastAsia" w:hAnsiTheme="majorEastAsia"/>
          <w:bCs/>
          <w:szCs w:val="30"/>
          <w:highlight w:val="none"/>
          <w:lang w:val="zh-CN"/>
        </w:rPr>
        <w:br w:type="page"/>
      </w:r>
    </w:p>
    <w:p>
      <w:pPr>
        <w:pStyle w:val="4"/>
        <w:jc w:val="center"/>
        <w:rPr>
          <w:sz w:val="32"/>
          <w:highlight w:val="none"/>
        </w:rPr>
      </w:pPr>
      <w:bookmarkStart w:id="79" w:name="_Toc38457839"/>
      <w:bookmarkStart w:id="80" w:name="_Toc65158798"/>
      <w:r>
        <w:rPr>
          <w:rFonts w:hint="eastAsia"/>
          <w:sz w:val="32"/>
          <w:highlight w:val="none"/>
          <w:lang w:eastAsia="zh-CN"/>
        </w:rPr>
        <w:t>技术</w:t>
      </w:r>
      <w:r>
        <w:rPr>
          <w:rFonts w:hint="eastAsia"/>
          <w:sz w:val="32"/>
          <w:highlight w:val="none"/>
        </w:rPr>
        <w:t>要求</w:t>
      </w:r>
      <w:bookmarkEnd w:id="75"/>
      <w:bookmarkEnd w:id="76"/>
      <w:bookmarkEnd w:id="77"/>
      <w:bookmarkEnd w:id="78"/>
      <w:bookmarkEnd w:id="79"/>
      <w:bookmarkEnd w:id="80"/>
    </w:p>
    <w:p>
      <w:pPr>
        <w:numPr>
          <w:ilvl w:val="0"/>
          <w:numId w:val="0"/>
        </w:num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1.技术要求</w:t>
      </w:r>
    </w:p>
    <w:p>
      <w:pPr>
        <w:widowControl/>
        <w:jc w:val="left"/>
        <w:rPr>
          <w:rFonts w:hint="eastAsia" w:cs="Times New Roman" w:asciiTheme="majorEastAsia" w:hAnsiTheme="majorEastAsia"/>
          <w:b/>
          <w:bCs w:val="0"/>
          <w:sz w:val="24"/>
          <w:szCs w:val="24"/>
          <w:highlight w:val="none"/>
          <w:lang w:val="zh-CN"/>
        </w:rPr>
      </w:pPr>
      <w:bookmarkStart w:id="81" w:name="_Toc2782582"/>
      <w:bookmarkStart w:id="82" w:name="_Toc494561956"/>
      <w:bookmarkStart w:id="83" w:name="_Toc511889434"/>
      <w:bookmarkStart w:id="84" w:name="_Toc511894512"/>
      <w:r>
        <w:rPr>
          <w:rFonts w:hint="eastAsia" w:cs="Times New Roman" w:asciiTheme="majorEastAsia" w:hAnsiTheme="majorEastAsia"/>
          <w:b/>
          <w:bCs w:val="0"/>
          <w:sz w:val="24"/>
          <w:szCs w:val="24"/>
          <w:highlight w:val="none"/>
          <w:lang w:val="zh-CN"/>
        </w:rPr>
        <w:t>包一：</w:t>
      </w: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highlight w:val="none"/>
          <w:lang w:val="zh-CN"/>
        </w:rPr>
      </w:pPr>
      <w:r>
        <w:rPr>
          <w:rFonts w:hint="eastAsia" w:ascii="宋体" w:hAnsi="宋体" w:eastAsia="宋体" w:cs="宋体"/>
          <w:b/>
          <w:bCs/>
          <w:sz w:val="24"/>
          <w:szCs w:val="24"/>
          <w:highlight w:val="none"/>
          <w:lang w:val="zh-CN"/>
        </w:rPr>
        <w:t>数显血液混匀器</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运行方式：360度颠倒旋转式；</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圆盘倾斜角：38度；</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速度范围：5-35rpm；</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时间设置范围：0-999min；</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管夹数量：中号24个；</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运行模式：定时、连续；</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输入电压( 频率）：AC 100-240V（50/60Hz)；</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输入功率：10W；</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外壳防护等级：IP31；</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允许环境温度：5-50℃；</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允许相对湿度：80%。</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脱色摇床</w:t>
      </w:r>
    </w:p>
    <w:p>
      <w:pPr>
        <w:keepNext w:val="0"/>
        <w:keepLines w:val="0"/>
        <w:pageBreakBefore w:val="0"/>
        <w:widowControl/>
        <w:numPr>
          <w:ilvl w:val="1"/>
          <w:numId w:val="6"/>
        </w:numPr>
        <w:kinsoku/>
        <w:wordWrap/>
        <w:overflowPunct/>
        <w:topLinePunct w:val="0"/>
        <w:autoSpaceDE/>
        <w:autoSpaceDN/>
        <w:bidi w:val="0"/>
        <w:adjustRightInd/>
        <w:snapToGrid/>
        <w:spacing w:line="360" w:lineRule="auto"/>
        <w:ind w:left="0" w:leftChars="0" w:firstLine="567" w:firstLineChars="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电源110-220V；</w:t>
      </w:r>
    </w:p>
    <w:p>
      <w:pPr>
        <w:keepNext w:val="0"/>
        <w:keepLines w:val="0"/>
        <w:pageBreakBefore w:val="0"/>
        <w:widowControl/>
        <w:numPr>
          <w:ilvl w:val="1"/>
          <w:numId w:val="6"/>
        </w:numPr>
        <w:kinsoku/>
        <w:wordWrap/>
        <w:overflowPunct/>
        <w:topLinePunct w:val="0"/>
        <w:autoSpaceDE/>
        <w:autoSpaceDN/>
        <w:bidi w:val="0"/>
        <w:adjustRightInd/>
        <w:snapToGrid/>
        <w:spacing w:line="360" w:lineRule="auto"/>
        <w:ind w:left="0" w:leftChars="0" w:firstLine="567" w:firstLineChars="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功率：35W；</w:t>
      </w:r>
    </w:p>
    <w:p>
      <w:pPr>
        <w:keepNext w:val="0"/>
        <w:keepLines w:val="0"/>
        <w:pageBreakBefore w:val="0"/>
        <w:widowControl/>
        <w:numPr>
          <w:ilvl w:val="1"/>
          <w:numId w:val="6"/>
        </w:numPr>
        <w:kinsoku/>
        <w:wordWrap/>
        <w:overflowPunct/>
        <w:topLinePunct w:val="0"/>
        <w:autoSpaceDE/>
        <w:autoSpaceDN/>
        <w:bidi w:val="0"/>
        <w:adjustRightInd/>
        <w:snapToGrid/>
        <w:spacing w:line="360" w:lineRule="auto"/>
        <w:ind w:left="0" w:leftChars="0" w:firstLine="567" w:firstLineChars="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转速：40-240；</w:t>
      </w:r>
    </w:p>
    <w:p>
      <w:pPr>
        <w:keepNext w:val="0"/>
        <w:keepLines w:val="0"/>
        <w:pageBreakBefore w:val="0"/>
        <w:widowControl/>
        <w:numPr>
          <w:ilvl w:val="1"/>
          <w:numId w:val="6"/>
        </w:numPr>
        <w:kinsoku/>
        <w:wordWrap/>
        <w:overflowPunct/>
        <w:topLinePunct w:val="0"/>
        <w:autoSpaceDE/>
        <w:autoSpaceDN/>
        <w:bidi w:val="0"/>
        <w:adjustRightInd/>
        <w:snapToGrid/>
        <w:spacing w:line="360" w:lineRule="auto"/>
        <w:ind w:left="0" w:leftChars="0" w:firstLine="567" w:firstLineChars="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速度控制：表头显示；</w:t>
      </w:r>
    </w:p>
    <w:p>
      <w:pPr>
        <w:keepNext w:val="0"/>
        <w:keepLines w:val="0"/>
        <w:pageBreakBefore w:val="0"/>
        <w:widowControl/>
        <w:numPr>
          <w:ilvl w:val="1"/>
          <w:numId w:val="6"/>
        </w:numPr>
        <w:kinsoku/>
        <w:wordWrap/>
        <w:overflowPunct/>
        <w:topLinePunct w:val="0"/>
        <w:autoSpaceDE/>
        <w:autoSpaceDN/>
        <w:bidi w:val="0"/>
        <w:adjustRightInd/>
        <w:snapToGrid/>
        <w:spacing w:line="360" w:lineRule="auto"/>
        <w:ind w:left="0" w:leftChars="0" w:firstLine="567" w:firstLineChars="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震荡方式：回转半径15mm。</w:t>
      </w:r>
    </w:p>
    <w:p>
      <w:pPr>
        <w:numPr>
          <w:ilvl w:val="0"/>
          <w:numId w:val="0"/>
        </w:numPr>
        <w:bidi w:val="0"/>
        <w:rPr>
          <w:rFonts w:hint="eastAsia"/>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涡旋振荡仪</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振动次数：2800次/分；</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额定功率：30W；</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工作面：碗型、平板型（可以互换）；</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电压：220V±10℅ 50HZ；</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电机，无噪音；</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设计合理、体积小、无噪音；</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操作简便分连续与点动两种功能。</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恒温金属浴</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温度控制范围：室温+5℃~100℃；</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定时范围：1min~99h59min；</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控温精度：±0.5℃；</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显示精度：±0.1℃；</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升温时间(20℃升至100℃)：≤15min；</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控温时间运行结束后蜂鸣器报警提示；</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即时温度显示、时间递减显示；</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圆形金属模块，结构更紧凑，适用更多离心管；</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内置超温保护装置，温度偏差校准功能；</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14种模块可选便捷的模块更换，便于清洁与消毒；</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内置风扇冷却，降温快；</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透明机盖防止实验误差。</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超微量分光光度计</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光程：1mm、0.5mm、0.05mm；</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微量样品体积要求：0.3～2µL；</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光源：长寿命脉冲氙闪灯；</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检测器：3864-元素线性硅化CCD阵列；</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波长范围： 190～850nm；</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光度范围：190～1100nm；</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波长精度：±1nm；</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波长分辨率：2nm (FWHM at Hg 546nm)；</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吸光率精确度：0.002 Abs；</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吸光率准确度： 1% (0.76吸光率在350nm)；</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吸光率范围：0.02～300 Abs,等效于10mm；</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核酸测量范围：2～15000 ng/µl dsDNA；</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蛋白质测量范围：0.1～100mg/ml，BSA；</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内置方法：核酸、蛋白质、全波长扫描、微阵列等；</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具有一键导出扫描检测结果的谱图功能；</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具有曲线拟合功能；</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开机无需等待，即开即用，1～5秒即可完成190-1100nm波长的数据采集；</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样品测量时间：小于5秒；</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内置win10系统，自带7寸高清显示屏，全触控操作。</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小型蛋白质电泳仪</w:t>
      </w:r>
    </w:p>
    <w:p>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每套设备包括电源、电泳仪、转印槽各一个。</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基础电泳仪电源参数：</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电压:10-300V ,最小可调1V ；</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电流:4-400mA ,最小可调1mA ；</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功率:75W in maximum；</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输出:4对电源输出,可同时运行4个电泳槽；</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输出方式:恒压或者恒流方式,可编程；</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定时:1-999min,完全可调；</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暂停功能:有。</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小型蛋白垂直电泳：</w:t>
      </w:r>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同一槽内可同时进行4块SDS-PAGE凝胶的电泳实验；</w:t>
      </w:r>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胶面积：不小于8.3 x 7.3 cm,短玻璃板,10.1 x 7.3 cm;长玻璃板,10.1 x 8.2 cm；</w:t>
      </w:r>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玻璃板：封边垫条永久性地固定在长玻板上，保证玻板精确对齐，防止漏胶；</w:t>
      </w:r>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灌胶系统：平行排列的设计能同时看到正在灌制的两块凝胶，弹簧杠杆设计使得软橡胶衬垫产生良好的密封性；</w:t>
      </w:r>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上样引导装置：防止泳道的遗漏上样或重复上样；</w:t>
      </w:r>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电泳梳：特殊的塑料电泳梳不会抑制凝胶聚合反应，制胶过程中，内置的脊可避免在灌胶过程时的空气接触，保证均一的凝胶聚合；</w:t>
      </w:r>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垂直电泳槽配件包括：包括10孔、1.0mm厚梳子5把，5套玻璃板，2个制胶架，4个制胶夹，样品上样引导装置，电极装置、配套的电泳模块，电泳槽，带有电源线的盖子，小型电泳槽缓冲液挡板。</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小型转印槽参数：</w:t>
      </w:r>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1小时内转印2 块7.5 x 10 cm 凝胶；也可进行低强度的过夜转印；</w:t>
      </w:r>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电极丝相距4cm，以产生强电场保证有效的蛋白转印；</w:t>
      </w:r>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颜色标记的转印夹和电极，转印过程中凝胶的正确定向；</w:t>
      </w:r>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内置冷却装置，快速吸收转移过程中产生的热量；</w:t>
      </w:r>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凝胶尺寸(W x L)：10 x 7.5 cm；</w:t>
      </w:r>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缓冲液要求：450 ml。</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冰箱（一）</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最大容积：≥215L；</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冷冻室容积：≥57L；</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冷藏室容积：≥123L；</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面板类型：钣金；</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制冷方式：直冷；</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箱门结构：三门式；</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冰箱冷柜机型：冷藏冷冻。</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冰箱（二）</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样式：立式，单门；</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有效容积：≥330L；</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双层透明保温玻璃门，箱体配锁，底部带有脚轮；</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箱体材料为结构钢板，经先进防腐磷化喷涂工艺，内壁为喷涂铝板材质；</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数码显示，在2～8℃范围内任意设定，温度显示精度0.1℃；</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电加热玻璃门，门体防凝露设计，80%湿度环境下无凝露；</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完善的声光报警功能：具有高温报警、低温报警、传感器故障报警、开门报警等多种声光报警功能；</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5个钢丝浸塑搁架；</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门开风扇电机停止运行，门关风扇电机自动开始运行；</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冷凝水自动蒸发，操作简便，无需手动倒水。</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电子分析天平</w:t>
      </w:r>
    </w:p>
    <w:p>
      <w:pPr>
        <w:keepNext w:val="0"/>
        <w:keepLines w:val="0"/>
        <w:pageBreakBefore w:val="0"/>
        <w:widowControl/>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称量范围（g）：0-120；</w:t>
      </w:r>
    </w:p>
    <w:p>
      <w:pPr>
        <w:keepNext w:val="0"/>
        <w:keepLines w:val="0"/>
        <w:pageBreakBefore w:val="0"/>
        <w:widowControl/>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实际分度值（mg）：0.1；</w:t>
      </w:r>
    </w:p>
    <w:p>
      <w:pPr>
        <w:keepNext w:val="0"/>
        <w:keepLines w:val="0"/>
        <w:pageBreakBefore w:val="0"/>
        <w:widowControl/>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重复性误差（g）：±0.0002；</w:t>
      </w:r>
    </w:p>
    <w:p>
      <w:pPr>
        <w:keepNext w:val="0"/>
        <w:keepLines w:val="0"/>
        <w:pageBreakBefore w:val="0"/>
        <w:widowControl/>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稳定时间（s）：≤6；</w:t>
      </w:r>
    </w:p>
    <w:p>
      <w:pPr>
        <w:keepNext w:val="0"/>
        <w:keepLines w:val="0"/>
        <w:pageBreakBefore w:val="0"/>
        <w:widowControl/>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秤盘直径（mm）：≥80。</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多点数显磁力搅拌器</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内置温度控制板，加热板温度分布均匀；</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搅拌子同步运转；</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直流无刷电机驱动，无级调速；</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工作盘尺寸：180x450mm</w:t>
      </w:r>
      <w:r>
        <w:rPr>
          <w:rFonts w:hint="eastAsia" w:ascii="宋体" w:hAnsi="宋体" w:eastAsia="宋体" w:cs="宋体"/>
          <w:bCs/>
          <w:sz w:val="24"/>
          <w:szCs w:val="24"/>
          <w:highlight w:val="none"/>
          <w:lang w:val="zh-CN" w:eastAsia="zh-CN"/>
        </w:rPr>
        <w:t>；</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盘面材质：不锈钢硅树脂覆膜；</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电机功率：≥490W；</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加热温度范围：室温～120℃；</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搅拌点位数量：10；</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最大搅拌容量：0.4L x 10；</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调速范围：0～1100rpm。</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调温磁力加热板+温控探头</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搅拌转速范围:  100 - 1500 rpm；</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热输出功率：≥1500 W；</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控温范围 (盘面）：50 - 500℃；</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配置外置温度计，控温精度：±0.5℃；</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加热盘材质: 玻璃陶瓷；</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盘面尺寸: 260×260mm；</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最大搅拌量：≥15升；</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固定安全温度：550℃；</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热警提示，当盘面高于50℃会闪烁显示HOT，以防烫伤；</w:t>
      </w:r>
    </w:p>
    <w:p>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控制面板抬高，使溶液溅到面板的几率最小。</w:t>
      </w:r>
    </w:p>
    <w:p>
      <w:pPr>
        <w:bidi w:val="0"/>
        <w:rPr>
          <w:rFonts w:hint="eastAsia"/>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循环水真空泵</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功率（W）：180；</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流量（L/min）：80；</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扬程（m）：10；</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最大真空度（MPa）：0.098 (2KPa)；</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单头抽气速率（L/min）：10；</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抽气头数（个）：2；</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安全功能：逆流防止阀；</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水箱容积（L）：15；</w:t>
      </w:r>
    </w:p>
    <w:p>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水箱材质：PP。</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旋片真空泵</w:t>
      </w:r>
    </w:p>
    <w:p>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抽速 (L/S)：≥2；</w:t>
      </w:r>
    </w:p>
    <w:p>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压力(Pa)：分压力≤6×10-2，全压力≤1.33；</w:t>
      </w:r>
    </w:p>
    <w:p>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转速(r/min)：1400；</w:t>
      </w:r>
    </w:p>
    <w:p>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容油量 (L)：1。</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低温冷却液循环泵</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整机功率：≥230W；</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容积：5L；</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显示方式：液晶显示；</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温控范围：-10℃-室温；</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温控精度：±1℃；</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温度传感器类型：PT100；</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额定流量：≥15L/min；</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扬程：≥3m；</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冷槽规格：≥φ180*150mm；</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配备隔膜式真空泵。</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旋转蒸发器</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调速方式：电子无级调速；</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转速显示方式：数字显示20-200；</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控温方式：智能控温；</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密封方式：特氟隆氟胶密封；</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升降方式：主机自动升降；</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冷凝器：立式冷凝器，≥85*460mm；</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连续加料：19#标口加料阀；</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支架材质：铝合金；</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锅胆材质：特氟隆复合锅，全封闭加热；</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旋转瓶容积：1L Φ131 24#标口；</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收集瓶容积：1L Φ131 35#球磨口；</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旋转功率：≥40W；</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旋转速度：0-200rpm；</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加热功率：≥1.5KW；</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浴锅控温范围：0-99℃；</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控温精度：±1℃；</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升降功率：≥15W；</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升降行程：0-150mm。</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电热真空干燥箱</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控温范围：RT+10 ～ 200 ℃；</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温度分辨率 / 波动度：0.1 ℃ / ± 1 ℃；</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达到真空度：≈133Pa；</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真空表：机械指针式；</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内胆尺寸（mm)W × D × H：≥220×210×220；</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搁板：≥1块；</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工作室材料：304不锈钢。</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低温恒温反应浴槽</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空载最低温度：-80℃；</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储液桶容积：2L；</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使用温度范围：99℃～-80℃；</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控温能力：控温精度±0.5℃；</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制冷量320W-1750W，加热功率≥400W；</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搅拌：内磁力搅拌、功率≥30W；</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回转速度：100-1000r/min；</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储液槽：Ф180*110；</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配备氮吹仪。</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电动搅拌器</w:t>
      </w:r>
    </w:p>
    <w:p>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最大搅拌量（水）：≥20L；</w:t>
      </w:r>
    </w:p>
    <w:p>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转速：200-3000rpm；</w:t>
      </w:r>
    </w:p>
    <w:p>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功率：≥60W；</w:t>
      </w:r>
    </w:p>
    <w:p>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搅拌最大粘度：≥10000mPa.s。</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显微熔点测定仪</w:t>
      </w:r>
    </w:p>
    <w:p>
      <w:pPr>
        <w:keepNext w:val="0"/>
        <w:keepLines w:val="0"/>
        <w:pageBreakBefore w:val="0"/>
        <w:widowControl/>
        <w:numPr>
          <w:ilvl w:val="0"/>
          <w:numId w:val="2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测量范围：室温~320 ℃；</w:t>
      </w:r>
    </w:p>
    <w:p>
      <w:pPr>
        <w:keepNext w:val="0"/>
        <w:keepLines w:val="0"/>
        <w:pageBreakBefore w:val="0"/>
        <w:widowControl/>
        <w:numPr>
          <w:ilvl w:val="0"/>
          <w:numId w:val="2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测量方法：目视；</w:t>
      </w:r>
    </w:p>
    <w:p>
      <w:pPr>
        <w:keepNext w:val="0"/>
        <w:keepLines w:val="0"/>
        <w:pageBreakBefore w:val="0"/>
        <w:widowControl/>
        <w:numPr>
          <w:ilvl w:val="0"/>
          <w:numId w:val="2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测量模式：毛细管法、热台法；</w:t>
      </w:r>
    </w:p>
    <w:p>
      <w:pPr>
        <w:keepNext w:val="0"/>
        <w:keepLines w:val="0"/>
        <w:pageBreakBefore w:val="0"/>
        <w:widowControl/>
        <w:numPr>
          <w:ilvl w:val="0"/>
          <w:numId w:val="2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最小示值：≤1℃；</w:t>
      </w:r>
    </w:p>
    <w:p>
      <w:pPr>
        <w:keepNext w:val="0"/>
        <w:keepLines w:val="0"/>
        <w:pageBreakBefore w:val="0"/>
        <w:widowControl/>
        <w:numPr>
          <w:ilvl w:val="0"/>
          <w:numId w:val="2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重复性：≤200℃±1℃，＞200℃±2℃；</w:t>
      </w:r>
    </w:p>
    <w:p>
      <w:pPr>
        <w:keepNext w:val="0"/>
        <w:keepLines w:val="0"/>
        <w:pageBreakBefore w:val="0"/>
        <w:widowControl/>
        <w:numPr>
          <w:ilvl w:val="0"/>
          <w:numId w:val="2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观察方式：单目或多目显微镜；</w:t>
      </w:r>
    </w:p>
    <w:p>
      <w:pPr>
        <w:keepNext w:val="0"/>
        <w:keepLines w:val="0"/>
        <w:pageBreakBefore w:val="0"/>
        <w:widowControl/>
        <w:numPr>
          <w:ilvl w:val="0"/>
          <w:numId w:val="2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放大镜倍数：≥40×。</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highlight w:val="none"/>
          <w:lang w:val="zh-CN"/>
        </w:rPr>
      </w:pPr>
      <w:r>
        <w:rPr>
          <w:rFonts w:hint="eastAsia" w:ascii="宋体" w:hAnsi="宋体" w:eastAsia="宋体" w:cs="宋体"/>
          <w:b/>
          <w:bCs/>
          <w:sz w:val="24"/>
          <w:szCs w:val="24"/>
          <w:highlight w:val="none"/>
          <w:lang w:val="zh-CN"/>
        </w:rPr>
        <w:t>手动压钠机</w:t>
      </w:r>
    </w:p>
    <w:p>
      <w:pPr>
        <w:keepNext w:val="0"/>
        <w:keepLines w:val="0"/>
        <w:pageBreakBefore w:val="0"/>
        <w:widowControl/>
        <w:numPr>
          <w:ilvl w:val="0"/>
          <w:numId w:val="2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拉手柄长度：≥450mm；</w:t>
      </w:r>
    </w:p>
    <w:p>
      <w:pPr>
        <w:keepNext w:val="0"/>
        <w:keepLines w:val="0"/>
        <w:pageBreakBefore w:val="0"/>
        <w:widowControl/>
        <w:numPr>
          <w:ilvl w:val="0"/>
          <w:numId w:val="2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螺旋杆顶针：φ18*50mm；</w:t>
      </w:r>
    </w:p>
    <w:p>
      <w:pPr>
        <w:keepNext w:val="0"/>
        <w:keepLines w:val="0"/>
        <w:pageBreakBefore w:val="0"/>
        <w:widowControl/>
        <w:numPr>
          <w:ilvl w:val="0"/>
          <w:numId w:val="2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工作室：φ18*45mm；</w:t>
      </w:r>
    </w:p>
    <w:p>
      <w:pPr>
        <w:keepNext w:val="0"/>
        <w:keepLines w:val="0"/>
        <w:pageBreakBefore w:val="0"/>
        <w:widowControl/>
        <w:numPr>
          <w:ilvl w:val="0"/>
          <w:numId w:val="2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出样片：φ20mm；</w:t>
      </w:r>
    </w:p>
    <w:p>
      <w:pPr>
        <w:keepNext w:val="0"/>
        <w:keepLines w:val="0"/>
        <w:pageBreakBefore w:val="0"/>
        <w:widowControl/>
        <w:numPr>
          <w:ilvl w:val="0"/>
          <w:numId w:val="2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出样孔径：约1.2mm。</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旋转蒸发仪</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玻璃材质：GG-17；</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支架材质：不锈钢；</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旋转瓶容积5L，￠50法兰口；</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收集瓶容积3L，35#球磨口；</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真空度：0.098Mpa ；</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浴锅控温范围：0-400℃；</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控温精度：±1℃；</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电压/频率(V/Hz)：220V/50Hz；</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升降行程：150mm；</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调速方式：电子无级调速；</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转速显示方式：数字显示；</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温度显示方式：K型传感器数字显示；</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控温方式：智能控温。</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低温冷却循环泵</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储液槽容积(L)：5；</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空载最低温度(℃)：-20；</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使用温度范围(℃)：常温～-20；</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最佳环境温度(℃)：≤25；</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环境相对湿度(％)：≤60；</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电源：220V±10％，50Hz；</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显示方式：液晶显示；</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控温精度(℃)：±2；</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传感器分度号：Pt100；</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仪表调节范围(℃)：±50；</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设定方式：在使用温度范围内任意设定；</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安全保护：延时、漏电、过电流、过热。</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静电纺丝仪</w:t>
      </w:r>
    </w:p>
    <w:p>
      <w:pPr>
        <w:keepNext w:val="0"/>
        <w:keepLines w:val="0"/>
        <w:pageBreakBefore w:val="0"/>
        <w:widowControl/>
        <w:numPr>
          <w:ilvl w:val="0"/>
          <w:numId w:val="3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30kV正高压电源；</w:t>
      </w:r>
    </w:p>
    <w:p>
      <w:pPr>
        <w:keepNext w:val="0"/>
        <w:keepLines w:val="0"/>
        <w:pageBreakBefore w:val="0"/>
        <w:widowControl/>
        <w:numPr>
          <w:ilvl w:val="0"/>
          <w:numId w:val="3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单通道微量泵：0.1-999 ml/h；</w:t>
      </w:r>
    </w:p>
    <w:p>
      <w:pPr>
        <w:keepNext w:val="0"/>
        <w:keepLines w:val="0"/>
        <w:pageBreakBefore w:val="0"/>
        <w:widowControl/>
        <w:numPr>
          <w:ilvl w:val="0"/>
          <w:numId w:val="3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针头支架：7孔位，任意角度调节；</w:t>
      </w:r>
    </w:p>
    <w:p>
      <w:pPr>
        <w:keepNext w:val="0"/>
        <w:keepLines w:val="0"/>
        <w:pageBreakBefore w:val="0"/>
        <w:widowControl/>
        <w:numPr>
          <w:ilvl w:val="0"/>
          <w:numId w:val="3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离型滚筒收集器：120-3000rpm；</w:t>
      </w:r>
    </w:p>
    <w:p>
      <w:pPr>
        <w:keepNext w:val="0"/>
        <w:keepLines w:val="0"/>
        <w:pageBreakBefore w:val="0"/>
        <w:widowControl/>
        <w:numPr>
          <w:ilvl w:val="0"/>
          <w:numId w:val="3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往复移动平台：0-1500mm/min。</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生化培养箱</w:t>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电源电压：AC220V 50HZ；</w:t>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控温范围：5-50℃；</w:t>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温度波动度：±1℃；</w:t>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工作环境温度：＜30℃；</w:t>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输入功率：400W；</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半干转印槽</w:t>
      </w:r>
    </w:p>
    <w:p>
      <w:pPr>
        <w:keepNext w:val="0"/>
        <w:keepLines w:val="0"/>
        <w:pageBreakBefore w:val="0"/>
        <w:widowControl/>
        <w:numPr>
          <w:ilvl w:val="0"/>
          <w:numId w:val="3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最大凝胶尺寸（宽×长），cm：24×16；</w:t>
      </w:r>
    </w:p>
    <w:p>
      <w:pPr>
        <w:keepNext w:val="0"/>
        <w:keepLines w:val="0"/>
        <w:pageBreakBefore w:val="0"/>
        <w:widowControl/>
        <w:numPr>
          <w:ilvl w:val="0"/>
          <w:numId w:val="3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缓冲液要求，ml：200；</w:t>
      </w:r>
    </w:p>
    <w:p>
      <w:pPr>
        <w:keepNext w:val="0"/>
        <w:keepLines w:val="0"/>
        <w:pageBreakBefore w:val="0"/>
        <w:widowControl/>
        <w:numPr>
          <w:ilvl w:val="0"/>
          <w:numId w:val="3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凝胶容量：4个Mini-PROTEAN® 预制或手灌胶，3 个 Criterion™ 凝胶，1-3 个 PROTEAN® II 凝胶夹层结构。</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超声波细胞破碎仪</w:t>
      </w:r>
    </w:p>
    <w:p>
      <w:pPr>
        <w:keepNext w:val="0"/>
        <w:keepLines w:val="0"/>
        <w:pageBreakBefore w:val="0"/>
        <w:widowControl/>
        <w:numPr>
          <w:ilvl w:val="0"/>
          <w:numId w:val="3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频率: 20-25 KHz；</w:t>
      </w:r>
    </w:p>
    <w:p>
      <w:pPr>
        <w:keepNext w:val="0"/>
        <w:keepLines w:val="0"/>
        <w:pageBreakBefore w:val="0"/>
        <w:widowControl/>
        <w:numPr>
          <w:ilvl w:val="0"/>
          <w:numId w:val="3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显示方式: 液晶屏显示；</w:t>
      </w:r>
    </w:p>
    <w:p>
      <w:pPr>
        <w:keepNext w:val="0"/>
        <w:keepLines w:val="0"/>
        <w:pageBreakBefore w:val="0"/>
        <w:widowControl/>
        <w:numPr>
          <w:ilvl w:val="0"/>
          <w:numId w:val="3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功率: 650 W（1%-100%）；</w:t>
      </w:r>
    </w:p>
    <w:p>
      <w:pPr>
        <w:keepNext w:val="0"/>
        <w:keepLines w:val="0"/>
        <w:pageBreakBefore w:val="0"/>
        <w:widowControl/>
        <w:numPr>
          <w:ilvl w:val="0"/>
          <w:numId w:val="3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随机变幅杆: 6 mm；</w:t>
      </w:r>
    </w:p>
    <w:p>
      <w:pPr>
        <w:keepNext w:val="0"/>
        <w:keepLines w:val="0"/>
        <w:pageBreakBefore w:val="0"/>
        <w:widowControl/>
        <w:numPr>
          <w:ilvl w:val="0"/>
          <w:numId w:val="3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配变幅杆:2, 3,10,12,15 mm；</w:t>
      </w:r>
    </w:p>
    <w:p>
      <w:pPr>
        <w:keepNext w:val="0"/>
        <w:keepLines w:val="0"/>
        <w:pageBreakBefore w:val="0"/>
        <w:widowControl/>
        <w:numPr>
          <w:ilvl w:val="0"/>
          <w:numId w:val="3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破碎容量: 0.5-500 ml；</w:t>
      </w:r>
    </w:p>
    <w:p>
      <w:pPr>
        <w:keepNext w:val="0"/>
        <w:keepLines w:val="0"/>
        <w:pageBreakBefore w:val="0"/>
        <w:widowControl/>
        <w:numPr>
          <w:ilvl w:val="0"/>
          <w:numId w:val="3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占空比: 0.1-99.9 %；</w:t>
      </w:r>
    </w:p>
    <w:p>
      <w:pPr>
        <w:keepNext w:val="0"/>
        <w:keepLines w:val="0"/>
        <w:pageBreakBefore w:val="0"/>
        <w:widowControl/>
        <w:numPr>
          <w:ilvl w:val="0"/>
          <w:numId w:val="3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电源: 220/110V  50Hz/60Hz。</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全自动液液萃取仪</w:t>
      </w:r>
    </w:p>
    <w:p>
      <w:pPr>
        <w:keepNext w:val="0"/>
        <w:keepLines w:val="0"/>
        <w:pageBreakBefore w:val="0"/>
        <w:widowControl/>
        <w:numPr>
          <w:ilvl w:val="0"/>
          <w:numId w:val="3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使用电压：220V50HZ；</w:t>
      </w:r>
    </w:p>
    <w:p>
      <w:pPr>
        <w:keepNext w:val="0"/>
        <w:keepLines w:val="0"/>
        <w:pageBreakBefore w:val="0"/>
        <w:widowControl/>
        <w:numPr>
          <w:ilvl w:val="0"/>
          <w:numId w:val="3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容量：1000ML×4；</w:t>
      </w:r>
    </w:p>
    <w:p>
      <w:pPr>
        <w:keepNext w:val="0"/>
        <w:keepLines w:val="0"/>
        <w:pageBreakBefore w:val="0"/>
        <w:widowControl/>
        <w:numPr>
          <w:ilvl w:val="0"/>
          <w:numId w:val="3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功率：50W；</w:t>
      </w:r>
    </w:p>
    <w:p>
      <w:pPr>
        <w:keepNext w:val="0"/>
        <w:keepLines w:val="0"/>
        <w:pageBreakBefore w:val="0"/>
        <w:widowControl/>
        <w:numPr>
          <w:ilvl w:val="0"/>
          <w:numId w:val="3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排气量：4×2L；</w:t>
      </w:r>
    </w:p>
    <w:p>
      <w:pPr>
        <w:keepNext w:val="0"/>
        <w:keepLines w:val="0"/>
        <w:pageBreakBefore w:val="0"/>
        <w:widowControl/>
        <w:numPr>
          <w:ilvl w:val="0"/>
          <w:numId w:val="3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每台仪器有四套玻璃仪器，四只气泵，四只定时表。每组玻璃仪器可单独使用，独立工作，互不串气；定时也可单独使用，独立工作，互不影响。</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冷冻干燥机</w:t>
      </w:r>
    </w:p>
    <w:p>
      <w:pPr>
        <w:keepNext w:val="0"/>
        <w:keepLines w:val="0"/>
        <w:pageBreakBefore w:val="0"/>
        <w:widowControl/>
        <w:numPr>
          <w:ilvl w:val="0"/>
          <w:numId w:val="3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冻干面积（㎡）：0.12；</w:t>
      </w:r>
    </w:p>
    <w:p>
      <w:pPr>
        <w:keepNext w:val="0"/>
        <w:keepLines w:val="0"/>
        <w:pageBreakBefore w:val="0"/>
        <w:widowControl/>
        <w:numPr>
          <w:ilvl w:val="0"/>
          <w:numId w:val="3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冷阱温度：-56℃；</w:t>
      </w:r>
    </w:p>
    <w:p>
      <w:pPr>
        <w:keepNext w:val="0"/>
        <w:keepLines w:val="0"/>
        <w:pageBreakBefore w:val="0"/>
        <w:widowControl/>
        <w:numPr>
          <w:ilvl w:val="0"/>
          <w:numId w:val="3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补水量(kg/批)：6；</w:t>
      </w:r>
    </w:p>
    <w:p>
      <w:pPr>
        <w:keepNext w:val="0"/>
        <w:keepLines w:val="0"/>
        <w:pageBreakBefore w:val="0"/>
        <w:widowControl/>
        <w:numPr>
          <w:ilvl w:val="0"/>
          <w:numId w:val="3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达标真空度：≤5PA；</w:t>
      </w:r>
    </w:p>
    <w:p>
      <w:pPr>
        <w:keepNext w:val="0"/>
        <w:keepLines w:val="0"/>
        <w:pageBreakBefore w:val="0"/>
        <w:widowControl/>
        <w:numPr>
          <w:ilvl w:val="0"/>
          <w:numId w:val="3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极限真空度：2PA；</w:t>
      </w:r>
    </w:p>
    <w:p>
      <w:pPr>
        <w:keepNext w:val="0"/>
        <w:keepLines w:val="0"/>
        <w:pageBreakBefore w:val="0"/>
        <w:widowControl/>
        <w:numPr>
          <w:ilvl w:val="0"/>
          <w:numId w:val="3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物料托盘：200mm共4层；</w:t>
      </w:r>
    </w:p>
    <w:p>
      <w:pPr>
        <w:keepNext w:val="0"/>
        <w:keepLines w:val="0"/>
        <w:pageBreakBefore w:val="0"/>
        <w:widowControl/>
        <w:numPr>
          <w:ilvl w:val="0"/>
          <w:numId w:val="3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物料盘间距：70mm；</w:t>
      </w:r>
    </w:p>
    <w:p>
      <w:pPr>
        <w:keepNext w:val="0"/>
        <w:keepLines w:val="0"/>
        <w:pageBreakBefore w:val="0"/>
        <w:widowControl/>
        <w:numPr>
          <w:ilvl w:val="0"/>
          <w:numId w:val="3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适用环境：环境温度≤30℃；</w:t>
      </w:r>
    </w:p>
    <w:p>
      <w:pPr>
        <w:keepNext w:val="0"/>
        <w:keepLines w:val="0"/>
        <w:pageBreakBefore w:val="0"/>
        <w:widowControl/>
        <w:numPr>
          <w:ilvl w:val="0"/>
          <w:numId w:val="3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整机运行噪音：≤55dB。</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均质机</w:t>
      </w:r>
    </w:p>
    <w:p>
      <w:pPr>
        <w:keepNext w:val="0"/>
        <w:keepLines w:val="0"/>
        <w:pageBreakBefore w:val="0"/>
        <w:widowControl/>
        <w:numPr>
          <w:ilvl w:val="0"/>
          <w:numId w:val="3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转速范围：5000-35000r/min；</w:t>
      </w:r>
    </w:p>
    <w:p>
      <w:pPr>
        <w:keepNext w:val="0"/>
        <w:keepLines w:val="0"/>
        <w:pageBreakBefore w:val="0"/>
        <w:widowControl/>
        <w:numPr>
          <w:ilvl w:val="0"/>
          <w:numId w:val="3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处理量：0.1-150ml(H2O)；</w:t>
      </w:r>
    </w:p>
    <w:p>
      <w:pPr>
        <w:keepNext w:val="0"/>
        <w:keepLines w:val="0"/>
        <w:pageBreakBefore w:val="0"/>
        <w:widowControl/>
        <w:numPr>
          <w:ilvl w:val="0"/>
          <w:numId w:val="3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标准工作头：10G；</w:t>
      </w:r>
    </w:p>
    <w:p>
      <w:pPr>
        <w:keepNext w:val="0"/>
        <w:keepLines w:val="0"/>
        <w:pageBreakBefore w:val="0"/>
        <w:widowControl/>
        <w:numPr>
          <w:ilvl w:val="0"/>
          <w:numId w:val="3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转速显示：刻度显示；</w:t>
      </w:r>
    </w:p>
    <w:p>
      <w:pPr>
        <w:keepNext w:val="0"/>
        <w:keepLines w:val="0"/>
        <w:pageBreakBefore w:val="0"/>
        <w:widowControl/>
        <w:numPr>
          <w:ilvl w:val="0"/>
          <w:numId w:val="3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调速方式：无极调速；</w:t>
      </w:r>
    </w:p>
    <w:p>
      <w:pPr>
        <w:keepNext w:val="0"/>
        <w:keepLines w:val="0"/>
        <w:pageBreakBefore w:val="0"/>
        <w:widowControl/>
        <w:numPr>
          <w:ilvl w:val="0"/>
          <w:numId w:val="3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接触物料材质：316L不锈钢；</w:t>
      </w:r>
    </w:p>
    <w:p>
      <w:pPr>
        <w:keepNext w:val="0"/>
        <w:keepLines w:val="0"/>
        <w:pageBreakBefore w:val="0"/>
        <w:widowControl/>
        <w:numPr>
          <w:ilvl w:val="0"/>
          <w:numId w:val="3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进入物料部分轴套材质：PTEE；</w:t>
      </w:r>
    </w:p>
    <w:p>
      <w:pPr>
        <w:keepNext w:val="0"/>
        <w:keepLines w:val="0"/>
        <w:pageBreakBefore w:val="0"/>
        <w:widowControl/>
        <w:numPr>
          <w:ilvl w:val="0"/>
          <w:numId w:val="3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允许相对湿度：80%；</w:t>
      </w:r>
    </w:p>
    <w:p>
      <w:pPr>
        <w:keepNext w:val="0"/>
        <w:keepLines w:val="0"/>
        <w:pageBreakBefore w:val="0"/>
        <w:widowControl/>
        <w:numPr>
          <w:ilvl w:val="0"/>
          <w:numId w:val="3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工序类型：微量分批处理。</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Cs/>
          <w:sz w:val="24"/>
          <w:szCs w:val="24"/>
          <w:highlight w:val="none"/>
          <w:lang w:val="zh-CN"/>
        </w:rPr>
      </w:pPr>
    </w:p>
    <w:p>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val="0"/>
          <w:sz w:val="24"/>
          <w:szCs w:val="24"/>
          <w:highlight w:val="none"/>
          <w:lang w:val="zh-CN"/>
        </w:rPr>
      </w:pPr>
      <w:r>
        <w:rPr>
          <w:rFonts w:hint="eastAsia" w:ascii="宋体" w:hAnsi="宋体" w:eastAsia="宋体" w:cs="宋体"/>
          <w:b/>
          <w:bCs w:val="0"/>
          <w:sz w:val="24"/>
          <w:szCs w:val="24"/>
          <w:highlight w:val="none"/>
          <w:lang w:val="zh-CN"/>
        </w:rPr>
        <w:t>药品稳定性试验箱</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控温范围/℃：0-65 ℃；</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温度波动度/均匀度：±0.5℃/±2℃；</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lang w:val="zh-CN"/>
        </w:rPr>
        <w:t>湿度范围/偏差：40~95%RH/±3%RH；</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定时范围：每段1~99小时；</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调温调湿方式：平衡调温调湿方式；</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制冷系统/制冷方式：一组独立原装全封闭压缩机；</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控制器：可程式液晶控制器；</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传感器：Pt100铂电阻，电容式湿度传感器；</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工作环境温度：RT+5~30℃；</w:t>
      </w:r>
    </w:p>
    <w:p>
      <w:pPr>
        <w:keepNext w:val="0"/>
        <w:keepLines w:val="0"/>
        <w:pageBreakBefore w:val="0"/>
        <w:widowControl/>
        <w:numPr>
          <w:ilvl w:val="0"/>
          <w:numId w:val="38"/>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安全装置：压缩机过热保护、风机过热保护、限温保护、压缩机超压保护、过载保护、缺水保护。</w:t>
      </w:r>
    </w:p>
    <w:p>
      <w:pPr>
        <w:rPr>
          <w:rFonts w:hint="eastAsia" w:ascii="宋体" w:hAnsi="宋体" w:eastAsia="宋体" w:cs="宋体"/>
          <w:b/>
          <w:bCs/>
          <w:sz w:val="24"/>
          <w:szCs w:val="24"/>
          <w:highlight w:val="none"/>
          <w:lang w:val="en-US" w:eastAsia="zh-CN"/>
        </w:rPr>
      </w:pPr>
    </w:p>
    <w:p>
      <w:pPr>
        <w:pStyle w:val="12"/>
        <w:ind w:left="0" w:leftChars="0" w:firstLine="0" w:firstLineChars="0"/>
        <w:jc w:val="center"/>
        <w:rPr>
          <w:rFonts w:hint="eastAsia" w:ascii="宋体" w:hAnsi="宋体" w:eastAsia="宋体" w:cs="宋体"/>
          <w:color w:val="000000"/>
          <w:sz w:val="24"/>
          <w:szCs w:val="24"/>
          <w:highlight w:val="none"/>
          <w:lang w:eastAsia="zh-CN"/>
        </w:rPr>
      </w:pPr>
      <w:r>
        <w:rPr>
          <w:rFonts w:hint="eastAsia" w:ascii="宋体" w:hAnsi="宋体" w:eastAsia="宋体" w:cs="宋体"/>
          <w:b/>
          <w:bCs/>
          <w:sz w:val="24"/>
          <w:szCs w:val="24"/>
          <w:highlight w:val="none"/>
          <w:lang w:val="en-US" w:eastAsia="zh-CN"/>
        </w:rPr>
        <w:t>注：以上技术要求中加注“</w:t>
      </w:r>
      <w:r>
        <w:rPr>
          <w:rFonts w:ascii="Times New Roman" w:hAnsi="Times New Roman" w:cs="Times New Roman"/>
          <w:color w:val="auto"/>
          <w:kern w:val="1"/>
          <w:szCs w:val="21"/>
          <w:highlight w:val="none"/>
          <w:shd w:val="clear" w:color="auto" w:fill="FFFFFF"/>
        </w:rPr>
        <w:t>▲</w:t>
      </w:r>
      <w:r>
        <w:rPr>
          <w:rFonts w:hint="eastAsia" w:ascii="宋体" w:hAnsi="宋体" w:eastAsia="宋体" w:cs="宋体"/>
          <w:b/>
          <w:bCs/>
          <w:sz w:val="24"/>
          <w:szCs w:val="24"/>
          <w:highlight w:val="none"/>
          <w:lang w:val="en-US" w:eastAsia="zh-CN"/>
        </w:rPr>
        <w:t>”号标识的为重要技术参数，负偏离时作为评分因素考量。</w:t>
      </w:r>
    </w:p>
    <w:p>
      <w:pPr>
        <w:widowControl/>
        <w:jc w:val="center"/>
        <w:rPr>
          <w:rFonts w:cs="Times New Roman" w:asciiTheme="majorEastAsia" w:hAnsiTheme="majorEastAsia"/>
          <w:b/>
          <w:bCs/>
          <w:szCs w:val="30"/>
          <w:highlight w:val="none"/>
          <w:lang w:val="zh-CN"/>
        </w:rPr>
      </w:pPr>
    </w:p>
    <w:p>
      <w:pPr>
        <w:widowControl/>
        <w:jc w:val="left"/>
        <w:rPr>
          <w:rFonts w:eastAsia="黑体" w:cs="Times New Roman" w:asciiTheme="majorEastAsia" w:hAnsiTheme="majorEastAsia"/>
          <w:sz w:val="30"/>
          <w:szCs w:val="30"/>
          <w:highlight w:val="none"/>
          <w:lang w:val="zh-CN"/>
        </w:rPr>
      </w:pPr>
      <w:r>
        <w:rPr>
          <w:rFonts w:cs="Times New Roman" w:asciiTheme="majorEastAsia" w:hAnsiTheme="majorEastAsia"/>
          <w:bCs/>
          <w:szCs w:val="30"/>
          <w:highlight w:val="none"/>
          <w:lang w:val="zh-CN"/>
        </w:rPr>
        <w:br w:type="page"/>
      </w:r>
    </w:p>
    <w:p>
      <w:pPr>
        <w:pStyle w:val="4"/>
        <w:jc w:val="center"/>
        <w:rPr>
          <w:sz w:val="32"/>
          <w:highlight w:val="none"/>
        </w:rPr>
      </w:pPr>
      <w:bookmarkStart w:id="85" w:name="_Toc65158799"/>
      <w:bookmarkStart w:id="86" w:name="_Toc38457840"/>
      <w:r>
        <w:rPr>
          <w:rFonts w:hint="eastAsia"/>
          <w:sz w:val="32"/>
          <w:highlight w:val="none"/>
        </w:rPr>
        <w:t>其他商务要求</w:t>
      </w:r>
      <w:bookmarkEnd w:id="81"/>
      <w:bookmarkEnd w:id="82"/>
      <w:bookmarkEnd w:id="83"/>
      <w:bookmarkEnd w:id="84"/>
      <w:bookmarkEnd w:id="85"/>
      <w:bookmarkEnd w:id="86"/>
    </w:p>
    <w:p>
      <w:pPr>
        <w:keepNext w:val="0"/>
        <w:keepLines w:val="0"/>
        <w:pageBreakBefore w:val="0"/>
        <w:widowControl w:val="0"/>
        <w:numPr>
          <w:ilvl w:val="0"/>
          <w:numId w:val="39"/>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rPr>
      </w:pPr>
      <w:bookmarkStart w:id="87" w:name="_Hlk64620301"/>
      <w:r>
        <w:rPr>
          <w:rFonts w:hint="eastAsia" w:ascii="宋体" w:hAnsi="宋体" w:eastAsia="宋体" w:cs="宋体"/>
          <w:b/>
          <w:bCs/>
          <w:sz w:val="24"/>
          <w:szCs w:val="24"/>
          <w:highlight w:val="none"/>
        </w:rPr>
        <w:t>交货验收与工期</w:t>
      </w:r>
    </w:p>
    <w:p>
      <w:pPr>
        <w:keepNext w:val="0"/>
        <w:keepLines w:val="0"/>
        <w:pageBreakBefore w:val="0"/>
        <w:widowControl w:val="0"/>
        <w:numPr>
          <w:ilvl w:val="1"/>
          <w:numId w:val="40"/>
        </w:numPr>
        <w:kinsoku/>
        <w:wordWrap/>
        <w:overflowPunct/>
        <w:topLinePunct w:val="0"/>
        <w:autoSpaceDE/>
        <w:autoSpaceDN/>
        <w:bidi w:val="0"/>
        <w:adjustRightInd/>
        <w:snapToGrid/>
        <w:spacing w:line="360" w:lineRule="auto"/>
        <w:ind w:left="0" w:firstLine="42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签订合同后按合同和磋商文件、磋商响应文件约定的要求和标准进行交货验收，交货期为签定合同后签定合同后</w:t>
      </w:r>
      <w:r>
        <w:rPr>
          <w:rFonts w:hint="eastAsia" w:ascii="宋体" w:hAnsi="宋体" w:eastAsia="宋体" w:cs="宋体"/>
          <w:sz w:val="24"/>
          <w:szCs w:val="24"/>
          <w:highlight w:val="none"/>
          <w:lang w:val="en-US" w:eastAsia="zh-CN"/>
        </w:rPr>
        <w:t>30个日历天内</w:t>
      </w:r>
      <w:r>
        <w:rPr>
          <w:rFonts w:hint="eastAsia" w:ascii="宋体" w:hAnsi="宋体" w:eastAsia="宋体" w:cs="宋体"/>
          <w:color w:val="000000"/>
          <w:sz w:val="24"/>
          <w:szCs w:val="24"/>
          <w:highlight w:val="none"/>
        </w:rPr>
        <w:t>。“交货</w:t>
      </w:r>
      <w:r>
        <w:rPr>
          <w:rFonts w:hint="eastAsia" w:ascii="宋体" w:hAnsi="宋体" w:eastAsia="宋体" w:cs="宋体"/>
          <w:sz w:val="24"/>
          <w:szCs w:val="24"/>
          <w:highlight w:val="none"/>
        </w:rPr>
        <w:t>期”指所有货物运抵现场安装调试完毕后交付用户验收的日期。</w:t>
      </w:r>
    </w:p>
    <w:p>
      <w:pPr>
        <w:bidi w:val="0"/>
        <w:rPr>
          <w:rFonts w:hint="eastAsia" w:ascii="宋体" w:hAnsi="宋体" w:eastAsia="宋体" w:cs="宋体"/>
          <w:sz w:val="24"/>
          <w:szCs w:val="24"/>
          <w:highlight w:val="none"/>
        </w:rPr>
      </w:pPr>
    </w:p>
    <w:p>
      <w:pPr>
        <w:keepNext w:val="0"/>
        <w:keepLines w:val="0"/>
        <w:pageBreakBefore w:val="0"/>
        <w:widowControl w:val="0"/>
        <w:numPr>
          <w:ilvl w:val="0"/>
          <w:numId w:val="4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付款方式</w:t>
      </w:r>
    </w:p>
    <w:p>
      <w:pPr>
        <w:keepNext w:val="0"/>
        <w:keepLines w:val="0"/>
        <w:pageBreakBefore w:val="0"/>
        <w:widowControl w:val="0"/>
        <w:numPr>
          <w:ilvl w:val="1"/>
          <w:numId w:val="41"/>
        </w:numPr>
        <w:kinsoku/>
        <w:wordWrap/>
        <w:overflowPunct/>
        <w:topLinePunct w:val="0"/>
        <w:autoSpaceDE/>
        <w:autoSpaceDN/>
        <w:bidi w:val="0"/>
        <w:adjustRightInd/>
        <w:snapToGrid/>
        <w:spacing w:line="360" w:lineRule="auto"/>
        <w:ind w:left="0" w:leftChars="0" w:firstLine="567"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本合同付款方式分批次结算。供应商收到</w:t>
      </w:r>
      <w:r>
        <w:rPr>
          <w:rFonts w:hint="eastAsia" w:ascii="宋体" w:hAnsi="宋体" w:eastAsia="宋体" w:cs="宋体"/>
          <w:sz w:val="24"/>
          <w:szCs w:val="24"/>
          <w:highlight w:val="none"/>
          <w:lang w:eastAsia="zh-CN"/>
        </w:rPr>
        <w:t>中标</w:t>
      </w:r>
      <w:r>
        <w:rPr>
          <w:rFonts w:hint="eastAsia" w:ascii="宋体" w:hAnsi="宋体" w:eastAsia="宋体" w:cs="宋体"/>
          <w:sz w:val="24"/>
          <w:szCs w:val="24"/>
          <w:highlight w:val="none"/>
        </w:rPr>
        <w:t>通知书后（签订合同前）预付货款的5%作为履约保证金到学校账户上；货物运到指定地点进行第一次验收，验收合格并安装调试完毕，经采购人第二次验收合格后付至合同总额的100%；验收完毕，履约保证金自动转为质保金，待验收合格质保期内所供产品无任何问题，一次性无息退还该质保金。</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szCs w:val="24"/>
          <w:highlight w:val="none"/>
        </w:rPr>
      </w:pPr>
    </w:p>
    <w:p>
      <w:pPr>
        <w:keepNext w:val="0"/>
        <w:keepLines w:val="0"/>
        <w:pageBreakBefore w:val="0"/>
        <w:numPr>
          <w:ilvl w:val="0"/>
          <w:numId w:val="4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售后服务</w:t>
      </w:r>
    </w:p>
    <w:p>
      <w:pPr>
        <w:keepNext w:val="0"/>
        <w:keepLines w:val="0"/>
        <w:pageBreakBefore w:val="0"/>
        <w:widowControl/>
        <w:numPr>
          <w:ilvl w:val="0"/>
          <w:numId w:val="42"/>
        </w:numPr>
        <w:kinsoku/>
        <w:wordWrap/>
        <w:overflowPunct/>
        <w:topLinePunct w:val="0"/>
        <w:autoSpaceDE/>
        <w:autoSpaceDN/>
        <w:bidi w:val="0"/>
        <w:adjustRightInd/>
        <w:snapToGrid/>
        <w:spacing w:line="360" w:lineRule="auto"/>
        <w:ind w:left="0" w:firstLine="42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质保期</w:t>
      </w:r>
      <w:r>
        <w:rPr>
          <w:rFonts w:hint="eastAsia" w:ascii="宋体" w:hAnsi="宋体" w:eastAsia="宋体" w:cs="宋体"/>
          <w:sz w:val="24"/>
          <w:szCs w:val="24"/>
          <w:highlight w:val="none"/>
          <w:lang w:val="en-US" w:eastAsia="zh-CN"/>
        </w:rPr>
        <w:t>1年</w:t>
      </w:r>
      <w:r>
        <w:rPr>
          <w:rFonts w:hint="eastAsia" w:ascii="宋体" w:hAnsi="宋体" w:eastAsia="宋体" w:cs="宋体"/>
          <w:sz w:val="24"/>
          <w:szCs w:val="24"/>
          <w:highlight w:val="none"/>
        </w:rPr>
        <w:t>。</w:t>
      </w:r>
    </w:p>
    <w:p>
      <w:pPr>
        <w:keepNext w:val="0"/>
        <w:keepLines w:val="0"/>
        <w:pageBreakBefore w:val="0"/>
        <w:widowControl/>
        <w:numPr>
          <w:ilvl w:val="0"/>
          <w:numId w:val="42"/>
        </w:numPr>
        <w:kinsoku/>
        <w:wordWrap/>
        <w:overflowPunct/>
        <w:topLinePunct w:val="0"/>
        <w:autoSpaceDE/>
        <w:autoSpaceDN/>
        <w:bidi w:val="0"/>
        <w:adjustRightInd/>
        <w:snapToGrid/>
        <w:spacing w:line="360" w:lineRule="auto"/>
        <w:ind w:left="0" w:firstLine="42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质保期内</w:t>
      </w:r>
      <w:r>
        <w:rPr>
          <w:rFonts w:hint="eastAsia" w:ascii="宋体" w:hAnsi="宋体" w:eastAsia="宋体" w:cs="宋体"/>
          <w:sz w:val="24"/>
          <w:szCs w:val="24"/>
          <w:highlight w:val="none"/>
        </w:rPr>
        <w:t>接到售后电话2小时</w:t>
      </w:r>
      <w:r>
        <w:rPr>
          <w:rFonts w:hint="eastAsia" w:ascii="宋体" w:hAnsi="宋体" w:eastAsia="宋体" w:cs="宋体"/>
          <w:sz w:val="24"/>
          <w:szCs w:val="24"/>
          <w:highlight w:val="none"/>
          <w:lang w:eastAsia="zh-CN"/>
        </w:rPr>
        <w:t>内</w:t>
      </w:r>
      <w:r>
        <w:rPr>
          <w:rFonts w:hint="eastAsia" w:ascii="宋体" w:hAnsi="宋体" w:eastAsia="宋体" w:cs="宋体"/>
          <w:sz w:val="24"/>
          <w:szCs w:val="24"/>
          <w:highlight w:val="none"/>
        </w:rPr>
        <w:t>到达现场。承诺24小时内解决问题。</w:t>
      </w:r>
    </w:p>
    <w:p>
      <w:pPr>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p>
    <w:p>
      <w:pPr>
        <w:keepNext w:val="0"/>
        <w:keepLines w:val="0"/>
        <w:pageBreakBefore w:val="0"/>
        <w:widowControl w:val="0"/>
        <w:numPr>
          <w:ilvl w:val="0"/>
          <w:numId w:val="40"/>
        </w:numPr>
        <w:kinsoku/>
        <w:wordWrap/>
        <w:overflowPunct/>
        <w:topLinePunct w:val="0"/>
        <w:autoSpaceDE/>
        <w:autoSpaceDN/>
        <w:bidi w:val="0"/>
        <w:adjustRightInd/>
        <w:snapToGrid/>
        <w:spacing w:line="360" w:lineRule="auto"/>
        <w:ind w:left="425" w:hanging="425"/>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其他说明</w:t>
      </w:r>
    </w:p>
    <w:p>
      <w:pPr>
        <w:keepNext w:val="0"/>
        <w:keepLines w:val="0"/>
        <w:pageBreakBefore w:val="0"/>
        <w:widowControl w:val="0"/>
        <w:numPr>
          <w:ilvl w:val="1"/>
          <w:numId w:val="40"/>
        </w:numPr>
        <w:kinsoku/>
        <w:wordWrap/>
        <w:overflowPunct/>
        <w:topLinePunct w:val="0"/>
        <w:autoSpaceDE/>
        <w:autoSpaceDN/>
        <w:bidi w:val="0"/>
        <w:adjustRightInd/>
        <w:snapToGrid/>
        <w:spacing w:line="360" w:lineRule="auto"/>
        <w:ind w:left="0" w:firstLine="42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本项目采购预算控制金额为</w:t>
      </w:r>
      <w:r>
        <w:rPr>
          <w:rFonts w:hint="eastAsia" w:ascii="宋体" w:hAnsi="宋体" w:eastAsia="宋体" w:cs="宋体"/>
          <w:sz w:val="24"/>
          <w:szCs w:val="24"/>
          <w:highlight w:val="none"/>
          <w:lang w:val="en-US" w:eastAsia="zh-CN"/>
        </w:rPr>
        <w:t>53</w:t>
      </w:r>
      <w:r>
        <w:rPr>
          <w:rFonts w:hint="eastAsia" w:ascii="宋体" w:hAnsi="宋体" w:eastAsia="宋体" w:cs="宋体"/>
          <w:sz w:val="24"/>
          <w:szCs w:val="24"/>
          <w:highlight w:val="none"/>
        </w:rPr>
        <w:t>万元，</w:t>
      </w:r>
      <w:r>
        <w:rPr>
          <w:rFonts w:hint="eastAsia" w:ascii="宋体" w:hAnsi="宋体" w:eastAsia="宋体" w:cs="宋体"/>
          <w:sz w:val="24"/>
          <w:szCs w:val="24"/>
          <w:highlight w:val="none"/>
          <w:lang w:eastAsia="zh-CN"/>
        </w:rPr>
        <w:t>其中包一</w:t>
      </w:r>
      <w:r>
        <w:rPr>
          <w:rFonts w:hint="eastAsia" w:ascii="宋体" w:hAnsi="宋体" w:eastAsia="宋体" w:cs="宋体"/>
          <w:sz w:val="24"/>
          <w:szCs w:val="24"/>
          <w:highlight w:val="none"/>
          <w:lang w:val="en-US" w:eastAsia="zh-CN"/>
        </w:rPr>
        <w:t>29.3</w:t>
      </w:r>
      <w:r>
        <w:rPr>
          <w:rFonts w:hint="eastAsia" w:ascii="宋体" w:hAnsi="宋体" w:eastAsia="宋体" w:cs="宋体"/>
          <w:sz w:val="24"/>
          <w:szCs w:val="24"/>
          <w:highlight w:val="none"/>
          <w:lang w:eastAsia="zh-CN"/>
        </w:rPr>
        <w:t>万元，包二</w:t>
      </w:r>
      <w:r>
        <w:rPr>
          <w:rFonts w:hint="eastAsia" w:ascii="宋体" w:hAnsi="宋体" w:eastAsia="宋体" w:cs="宋体"/>
          <w:sz w:val="24"/>
          <w:szCs w:val="24"/>
          <w:highlight w:val="none"/>
          <w:lang w:val="en-US" w:eastAsia="zh-CN"/>
        </w:rPr>
        <w:t>23.7</w:t>
      </w:r>
      <w:r>
        <w:rPr>
          <w:rFonts w:hint="eastAsia" w:ascii="宋体" w:hAnsi="宋体" w:eastAsia="宋体" w:cs="宋体"/>
          <w:sz w:val="24"/>
          <w:szCs w:val="24"/>
          <w:highlight w:val="none"/>
          <w:lang w:eastAsia="zh-CN"/>
        </w:rPr>
        <w:t>万元，</w:t>
      </w:r>
      <w:r>
        <w:rPr>
          <w:rFonts w:hint="eastAsia" w:ascii="宋体" w:hAnsi="宋体" w:eastAsia="宋体" w:cs="宋体"/>
          <w:sz w:val="24"/>
          <w:szCs w:val="24"/>
          <w:highlight w:val="none"/>
        </w:rPr>
        <w:t>超出预算控制金额将导致其报价无效。</w:t>
      </w:r>
    </w:p>
    <w:p>
      <w:pPr>
        <w:keepNext w:val="0"/>
        <w:keepLines w:val="0"/>
        <w:pageBreakBefore w:val="0"/>
        <w:widowControl w:val="0"/>
        <w:numPr>
          <w:ilvl w:val="1"/>
          <w:numId w:val="40"/>
        </w:numPr>
        <w:kinsoku/>
        <w:wordWrap/>
        <w:overflowPunct/>
        <w:topLinePunct w:val="0"/>
        <w:autoSpaceDE/>
        <w:autoSpaceDN/>
        <w:bidi w:val="0"/>
        <w:adjustRightInd/>
        <w:snapToGrid/>
        <w:spacing w:line="360" w:lineRule="auto"/>
        <w:ind w:left="0" w:firstLine="425"/>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供应商须具备人员、设备售后维护、培训和供应的能力。</w:t>
      </w:r>
      <w:r>
        <w:rPr>
          <w:rFonts w:hint="eastAsia" w:ascii="宋体" w:hAnsi="宋体" w:eastAsia="宋体" w:cs="宋体"/>
          <w:b/>
          <w:bCs/>
          <w:sz w:val="24"/>
          <w:szCs w:val="24"/>
          <w:highlight w:val="none"/>
          <w:lang w:val="en-US" w:eastAsia="zh-CN"/>
        </w:rPr>
        <w:t>（</w:t>
      </w:r>
      <w:r>
        <w:rPr>
          <w:rFonts w:hint="eastAsia" w:ascii="宋体" w:hAnsi="宋体" w:eastAsia="宋体" w:cs="宋体"/>
          <w:b/>
          <w:bCs/>
          <w:sz w:val="24"/>
          <w:szCs w:val="24"/>
          <w:highlight w:val="none"/>
        </w:rPr>
        <w:t>未提供承诺书将导致其投标无效</w:t>
      </w:r>
      <w:r>
        <w:rPr>
          <w:rFonts w:hint="eastAsia" w:ascii="宋体" w:hAnsi="宋体" w:eastAsia="宋体" w:cs="宋体"/>
          <w:b/>
          <w:bCs/>
          <w:sz w:val="24"/>
          <w:szCs w:val="24"/>
          <w:highlight w:val="none"/>
          <w:lang w:val="en-US" w:eastAsia="zh-CN"/>
        </w:rPr>
        <w:t>）</w:t>
      </w:r>
    </w:p>
    <w:p>
      <w:pPr>
        <w:keepNext w:val="0"/>
        <w:keepLines w:val="0"/>
        <w:pageBreakBefore w:val="0"/>
        <w:widowControl w:val="0"/>
        <w:numPr>
          <w:ilvl w:val="1"/>
          <w:numId w:val="40"/>
        </w:numPr>
        <w:kinsoku/>
        <w:wordWrap/>
        <w:overflowPunct/>
        <w:topLinePunct w:val="0"/>
        <w:autoSpaceDE/>
        <w:autoSpaceDN/>
        <w:bidi w:val="0"/>
        <w:adjustRightInd/>
        <w:snapToGrid/>
        <w:spacing w:line="360" w:lineRule="auto"/>
        <w:ind w:left="0" w:firstLine="425"/>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供应商须提供供货能力保障承诺书，承诺所投产品货源渠道正规，并保证按照合同和磋商文件、磋商响应文件约定的要求和标准按时交货，否则自愿放弃成交资格并赔偿因此给采购人造成的损失（未提供承诺书将导致其投标无效）。</w:t>
      </w:r>
    </w:p>
    <w:bookmarkEnd w:id="87"/>
    <w:p>
      <w:pPr>
        <w:adjustRightInd w:val="0"/>
        <w:snapToGrid w:val="0"/>
        <w:spacing w:line="360" w:lineRule="auto"/>
        <w:ind w:firstLine="480" w:firstLineChars="200"/>
        <w:rPr>
          <w:rFonts w:ascii="宋体" w:hAnsi="宋体" w:eastAsia="宋体" w:cs="宋体"/>
          <w:sz w:val="24"/>
          <w:szCs w:val="24"/>
          <w:highlight w:val="none"/>
        </w:rPr>
      </w:pPr>
      <w:bookmarkStart w:id="88" w:name="_Toc2782583"/>
      <w:bookmarkStart w:id="89" w:name="_Toc511894513"/>
      <w:r>
        <w:rPr>
          <w:rFonts w:ascii="宋体" w:hAnsi="宋体" w:eastAsia="宋体" w:cs="宋体"/>
          <w:bCs/>
          <w:sz w:val="24"/>
          <w:szCs w:val="24"/>
          <w:highlight w:val="none"/>
        </w:rPr>
        <w:br w:type="page"/>
      </w:r>
    </w:p>
    <w:bookmarkEnd w:id="88"/>
    <w:bookmarkEnd w:id="89"/>
    <w:p>
      <w:pPr>
        <w:pStyle w:val="3"/>
        <w:jc w:val="center"/>
        <w:rPr>
          <w:sz w:val="36"/>
          <w:szCs w:val="36"/>
          <w:highlight w:val="none"/>
        </w:rPr>
      </w:pPr>
      <w:bookmarkStart w:id="90" w:name="_Toc65158800"/>
      <w:r>
        <w:rPr>
          <w:rFonts w:hint="eastAsia"/>
          <w:sz w:val="36"/>
          <w:szCs w:val="36"/>
          <w:highlight w:val="none"/>
        </w:rPr>
        <w:t>评审标准及方法</w:t>
      </w:r>
      <w:bookmarkEnd w:id="90"/>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根据《中华人民共和国政府采购法》、《中华人民共和国政府采购法实施条例》和《政府采购竞争性磋商采购方式管理暂行办法》等相关法律法规确定，确定以下评审标准及方法。</w:t>
      </w:r>
    </w:p>
    <w:p>
      <w:pPr>
        <w:pStyle w:val="4"/>
        <w:jc w:val="left"/>
        <w:rPr>
          <w:sz w:val="32"/>
          <w:highlight w:val="none"/>
        </w:rPr>
      </w:pPr>
      <w:bookmarkStart w:id="91" w:name="_Toc65158801"/>
      <w:r>
        <w:rPr>
          <w:rFonts w:hint="eastAsia"/>
          <w:sz w:val="32"/>
          <w:highlight w:val="none"/>
        </w:rPr>
        <w:t>评审方法</w:t>
      </w:r>
      <w:bookmarkEnd w:id="91"/>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本项目采用综合评分法进行评审。综合评分法是指在最大限度地满足竞争性磋商文件实质性要求前提下，按照竞争性磋商文件中规定的各项评分因素进行综合评审后，以评审总得分最高的供应商作为成交候选供应商或者成交供应商的评审方法。</w:t>
      </w:r>
    </w:p>
    <w:p>
      <w:pPr>
        <w:pStyle w:val="4"/>
        <w:jc w:val="left"/>
        <w:rPr>
          <w:sz w:val="32"/>
          <w:highlight w:val="none"/>
        </w:rPr>
      </w:pPr>
      <w:bookmarkStart w:id="92" w:name="_Toc65158802"/>
      <w:r>
        <w:rPr>
          <w:rFonts w:hint="eastAsia"/>
          <w:sz w:val="32"/>
          <w:highlight w:val="none"/>
        </w:rPr>
        <w:t>评审程序</w:t>
      </w:r>
      <w:bookmarkEnd w:id="92"/>
    </w:p>
    <w:p>
      <w:pPr>
        <w:pStyle w:val="5"/>
        <w:rPr>
          <w:sz w:val="30"/>
          <w:szCs w:val="30"/>
          <w:highlight w:val="none"/>
        </w:rPr>
      </w:pPr>
      <w:bookmarkStart w:id="93" w:name="_Toc65158803"/>
      <w:r>
        <w:rPr>
          <w:rFonts w:hint="eastAsia"/>
          <w:sz w:val="30"/>
          <w:szCs w:val="30"/>
          <w:highlight w:val="none"/>
        </w:rPr>
        <w:t>资格性审查</w:t>
      </w:r>
      <w:bookmarkEnd w:id="93"/>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 xml:space="preserve">1 </w:t>
      </w:r>
      <w:r>
        <w:rPr>
          <w:rFonts w:hint="eastAsia" w:ascii="宋体" w:hAnsi="宋体" w:eastAsia="宋体"/>
          <w:sz w:val="24"/>
          <w:szCs w:val="24"/>
          <w:highlight w:val="none"/>
        </w:rPr>
        <w:t>磋商小组对供应商竞争性磋商响应文件中的资格证明文件进行审查，以确定供应商是否具备磋商资格。资格性审查表如下：</w:t>
      </w:r>
    </w:p>
    <w:p>
      <w:pPr>
        <w:spacing w:line="360" w:lineRule="auto"/>
        <w:jc w:val="center"/>
        <w:rPr>
          <w:b/>
          <w:bCs/>
          <w:sz w:val="28"/>
          <w:szCs w:val="28"/>
          <w:highlight w:val="none"/>
        </w:rPr>
      </w:pPr>
      <w:bookmarkStart w:id="94" w:name="_Hlk44232161"/>
      <w:r>
        <w:rPr>
          <w:rFonts w:hint="eastAsia"/>
          <w:b/>
          <w:bCs/>
          <w:sz w:val="28"/>
          <w:szCs w:val="28"/>
          <w:highlight w:val="none"/>
        </w:rPr>
        <w:t>资格性审查表</w:t>
      </w:r>
    </w:p>
    <w:tbl>
      <w:tblPr>
        <w:tblStyle w:val="32"/>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20"/>
        <w:gridCol w:w="1448"/>
        <w:gridCol w:w="694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shd w:val="clear" w:color="auto" w:fill="BEBEBE" w:themeFill="background1" w:themeFillShade="BF"/>
            <w:vAlign w:val="center"/>
          </w:tcPr>
          <w:p>
            <w:pPr>
              <w:adjustRightInd w:val="0"/>
              <w:snapToGrid w:val="0"/>
              <w:jc w:val="center"/>
              <w:rPr>
                <w:rFonts w:ascii="宋体" w:cs="宋体"/>
                <w:color w:val="000000"/>
                <w:kern w:val="0"/>
                <w:sz w:val="24"/>
                <w:szCs w:val="24"/>
                <w:highlight w:val="none"/>
              </w:rPr>
            </w:pPr>
            <w:bookmarkStart w:id="95" w:name="_Hlk64617386"/>
            <w:r>
              <w:rPr>
                <w:rFonts w:hint="eastAsia" w:ascii="宋体" w:hAnsi="宋体" w:cs="宋体"/>
                <w:color w:val="000000"/>
                <w:kern w:val="0"/>
                <w:sz w:val="24"/>
                <w:szCs w:val="24"/>
                <w:highlight w:val="none"/>
              </w:rPr>
              <w:t>序号</w:t>
            </w:r>
          </w:p>
        </w:tc>
        <w:tc>
          <w:tcPr>
            <w:tcW w:w="794" w:type="pct"/>
            <w:shd w:val="clear" w:color="auto" w:fill="BEBEBE" w:themeFill="background1" w:themeFillShade="BF"/>
            <w:vAlign w:val="center"/>
          </w:tcPr>
          <w:p>
            <w:pPr>
              <w:adjustRightInd w:val="0"/>
              <w:snapToGrid w:val="0"/>
              <w:jc w:val="center"/>
              <w:rPr>
                <w:rFonts w:ascii="宋体" w:cs="宋体"/>
                <w:color w:val="000000"/>
                <w:kern w:val="0"/>
                <w:sz w:val="24"/>
                <w:szCs w:val="24"/>
                <w:highlight w:val="none"/>
              </w:rPr>
            </w:pPr>
            <w:r>
              <w:rPr>
                <w:rFonts w:hint="eastAsia" w:ascii="宋体" w:hAnsi="宋体" w:cs="宋体"/>
                <w:color w:val="000000"/>
                <w:kern w:val="0"/>
                <w:sz w:val="24"/>
                <w:szCs w:val="24"/>
                <w:highlight w:val="none"/>
              </w:rPr>
              <w:t>审查因素</w:t>
            </w:r>
          </w:p>
        </w:tc>
        <w:tc>
          <w:tcPr>
            <w:tcW w:w="3811" w:type="pct"/>
            <w:shd w:val="clear" w:color="auto" w:fill="BEBEBE" w:themeFill="background1" w:themeFillShade="BF"/>
            <w:vAlign w:val="center"/>
          </w:tcPr>
          <w:p>
            <w:pPr>
              <w:adjustRightInd w:val="0"/>
              <w:snapToGrid w:val="0"/>
              <w:jc w:val="center"/>
              <w:rPr>
                <w:rFonts w:ascii="宋体" w:cs="宋体"/>
                <w:color w:val="000000"/>
                <w:kern w:val="0"/>
                <w:sz w:val="24"/>
                <w:szCs w:val="24"/>
                <w:highlight w:val="none"/>
              </w:rPr>
            </w:pPr>
            <w:r>
              <w:rPr>
                <w:rFonts w:hint="eastAsia" w:ascii="宋体" w:hAnsi="宋体" w:cs="宋体"/>
                <w:color w:val="000000"/>
                <w:kern w:val="0"/>
                <w:sz w:val="24"/>
                <w:szCs w:val="24"/>
                <w:highlight w:val="none"/>
              </w:rPr>
              <w:t>审查内容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ascii="宋体" w:hAnsi="宋体" w:cs="宋体"/>
                <w:color w:val="000000"/>
                <w:kern w:val="0"/>
                <w:sz w:val="24"/>
                <w:szCs w:val="24"/>
                <w:highlight w:val="none"/>
              </w:rPr>
              <w:t>1</w:t>
            </w:r>
          </w:p>
        </w:tc>
        <w:tc>
          <w:tcPr>
            <w:tcW w:w="794" w:type="pct"/>
            <w:vAlign w:val="center"/>
          </w:tcPr>
          <w:p>
            <w:pPr>
              <w:adjustRightInd w:val="0"/>
              <w:snapToGrid w:val="0"/>
              <w:jc w:val="center"/>
              <w:rPr>
                <w:rFonts w:ascii="宋体"/>
                <w:sz w:val="24"/>
                <w:szCs w:val="24"/>
                <w:highlight w:val="none"/>
              </w:rPr>
            </w:pPr>
            <w:r>
              <w:rPr>
                <w:rFonts w:hint="eastAsia" w:ascii="宋体" w:hAnsi="宋体"/>
                <w:sz w:val="24"/>
                <w:szCs w:val="24"/>
                <w:highlight w:val="none"/>
              </w:rPr>
              <w:t>主体资格</w:t>
            </w:r>
          </w:p>
        </w:tc>
        <w:tc>
          <w:tcPr>
            <w:tcW w:w="3811" w:type="pct"/>
            <w:vAlign w:val="center"/>
          </w:tcPr>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符合《中华人民共和国政府采购法》第二十二条规定</w:t>
            </w:r>
            <w:r>
              <w:rPr>
                <w:rFonts w:ascii="宋体" w:hAnsi="宋体"/>
                <w:color w:val="000000"/>
                <w:kern w:val="0"/>
                <w:sz w:val="24"/>
                <w:szCs w:val="24"/>
                <w:highlight w:val="none"/>
              </w:rPr>
              <w:t>,</w:t>
            </w:r>
            <w:r>
              <w:rPr>
                <w:rFonts w:hint="eastAsia" w:ascii="宋体" w:hAnsi="宋体"/>
                <w:color w:val="000000"/>
                <w:kern w:val="0"/>
                <w:sz w:val="24"/>
                <w:szCs w:val="24"/>
                <w:highlight w:val="none"/>
              </w:rPr>
              <w:t>具体包含：</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（1）具有独立承担民事责任的能力；</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（2）具有良好的商业信誉和健全的财务会计制度；</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（3）具有履行合同所必需的设备和专业技术能力；</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（4）有依法缴纳税收和社会保障资金的良好记录；</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（5）参加政府采购活动前三年内，在经营活动中没有重大违法记录；</w:t>
            </w:r>
          </w:p>
          <w:p>
            <w:pPr>
              <w:widowControl/>
              <w:adjustRightInd w:val="0"/>
              <w:snapToGrid w:val="0"/>
              <w:rPr>
                <w:rFonts w:ascii="宋体" w:cs="宋体"/>
                <w:color w:val="000000"/>
                <w:kern w:val="0"/>
                <w:sz w:val="24"/>
                <w:szCs w:val="24"/>
                <w:highlight w:val="none"/>
              </w:rPr>
            </w:pPr>
            <w:r>
              <w:rPr>
                <w:rFonts w:hint="eastAsia" w:ascii="宋体" w:hAnsi="宋体"/>
                <w:color w:val="000000"/>
                <w:kern w:val="0"/>
                <w:sz w:val="24"/>
                <w:szCs w:val="24"/>
                <w:highlight w:val="none"/>
              </w:rPr>
              <w:t>（6）法律、行政法规规定的其他条件。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ascii="宋体" w:hAnsi="宋体" w:cs="宋体"/>
                <w:color w:val="000000"/>
                <w:kern w:val="0"/>
                <w:sz w:val="24"/>
                <w:szCs w:val="24"/>
                <w:highlight w:val="none"/>
              </w:rPr>
              <w:t>2</w:t>
            </w:r>
          </w:p>
        </w:tc>
        <w:tc>
          <w:tcPr>
            <w:tcW w:w="794" w:type="pct"/>
            <w:vAlign w:val="center"/>
          </w:tcPr>
          <w:p>
            <w:pPr>
              <w:adjustRightInd w:val="0"/>
              <w:snapToGrid w:val="0"/>
              <w:jc w:val="center"/>
              <w:rPr>
                <w:rFonts w:ascii="宋体"/>
                <w:sz w:val="24"/>
                <w:szCs w:val="24"/>
                <w:highlight w:val="none"/>
              </w:rPr>
            </w:pPr>
            <w:r>
              <w:rPr>
                <w:rFonts w:hint="eastAsia" w:ascii="宋体" w:hAnsi="宋体"/>
                <w:sz w:val="24"/>
                <w:szCs w:val="24"/>
                <w:highlight w:val="none"/>
              </w:rPr>
              <w:t>关联关系</w:t>
            </w:r>
          </w:p>
        </w:tc>
        <w:tc>
          <w:tcPr>
            <w:tcW w:w="3811" w:type="pct"/>
            <w:vAlign w:val="center"/>
          </w:tcPr>
          <w:p>
            <w:pPr>
              <w:widowControl/>
              <w:adjustRightInd w:val="0"/>
              <w:snapToGrid w:val="0"/>
              <w:rPr>
                <w:rFonts w:ascii="宋体" w:cs="宋体"/>
                <w:color w:val="000000"/>
                <w:kern w:val="0"/>
                <w:sz w:val="24"/>
                <w:szCs w:val="24"/>
                <w:highlight w:val="none"/>
              </w:rPr>
            </w:pPr>
            <w:r>
              <w:rPr>
                <w:rFonts w:hint="eastAsia" w:ascii="宋体" w:hAnsi="宋体"/>
                <w:color w:val="000000"/>
                <w:kern w:val="0"/>
                <w:sz w:val="24"/>
                <w:szCs w:val="24"/>
                <w:highlight w:val="none"/>
              </w:rPr>
              <w:t>单位负责人为同一人或者存在直接控股、管理关系的不同供应商，不得参加本项目同一合同项下的政府采购活动。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ascii="宋体" w:hAnsi="宋体" w:cs="宋体"/>
                <w:color w:val="000000"/>
                <w:kern w:val="0"/>
                <w:sz w:val="24"/>
                <w:szCs w:val="24"/>
                <w:highlight w:val="none"/>
              </w:rPr>
              <w:t>3</w:t>
            </w:r>
          </w:p>
        </w:tc>
        <w:tc>
          <w:tcPr>
            <w:tcW w:w="794" w:type="pct"/>
            <w:vAlign w:val="center"/>
          </w:tcPr>
          <w:p>
            <w:pPr>
              <w:adjustRightInd w:val="0"/>
              <w:snapToGrid w:val="0"/>
              <w:jc w:val="center"/>
              <w:rPr>
                <w:rFonts w:ascii="宋体" w:hAnsi="宋体"/>
                <w:sz w:val="24"/>
                <w:szCs w:val="24"/>
                <w:highlight w:val="none"/>
              </w:rPr>
            </w:pPr>
            <w:r>
              <w:rPr>
                <w:rFonts w:hint="eastAsia" w:ascii="宋体" w:hAnsi="宋体"/>
                <w:sz w:val="24"/>
                <w:szCs w:val="24"/>
                <w:highlight w:val="none"/>
              </w:rPr>
              <w:t>前期服务</w:t>
            </w:r>
          </w:p>
        </w:tc>
        <w:tc>
          <w:tcPr>
            <w:tcW w:w="3811" w:type="pct"/>
            <w:vAlign w:val="center"/>
          </w:tcPr>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为本采购项目提供整体设计、规范编制或者项目管理、监理、检测等服务的，不得再参加本项目的其他招标采购活动。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ascii="宋体" w:hAnsi="宋体" w:cs="宋体"/>
                <w:color w:val="000000"/>
                <w:kern w:val="0"/>
                <w:sz w:val="24"/>
                <w:szCs w:val="24"/>
                <w:highlight w:val="none"/>
              </w:rPr>
              <w:t>4</w:t>
            </w:r>
          </w:p>
        </w:tc>
        <w:tc>
          <w:tcPr>
            <w:tcW w:w="794" w:type="pct"/>
            <w:vAlign w:val="center"/>
          </w:tcPr>
          <w:p>
            <w:pPr>
              <w:adjustRightInd w:val="0"/>
              <w:snapToGrid w:val="0"/>
              <w:jc w:val="center"/>
              <w:rPr>
                <w:rFonts w:ascii="宋体"/>
                <w:sz w:val="24"/>
                <w:szCs w:val="24"/>
                <w:highlight w:val="none"/>
              </w:rPr>
            </w:pPr>
            <w:r>
              <w:rPr>
                <w:rFonts w:hint="eastAsia" w:ascii="宋体" w:hAnsi="宋体"/>
                <w:bCs/>
                <w:sz w:val="24"/>
                <w:szCs w:val="24"/>
                <w:highlight w:val="none"/>
              </w:rPr>
              <w:t>信用信息</w:t>
            </w:r>
          </w:p>
        </w:tc>
        <w:tc>
          <w:tcPr>
            <w:tcW w:w="3811" w:type="pct"/>
            <w:vAlign w:val="center"/>
          </w:tcPr>
          <w:p>
            <w:pPr>
              <w:widowControl/>
              <w:adjustRightInd w:val="0"/>
              <w:snapToGrid w:val="0"/>
              <w:rPr>
                <w:rFonts w:ascii="宋体" w:cs="宋体"/>
                <w:color w:val="000000"/>
                <w:kern w:val="0"/>
                <w:sz w:val="24"/>
                <w:szCs w:val="24"/>
                <w:highlight w:val="none"/>
              </w:rPr>
            </w:pPr>
            <w:r>
              <w:rPr>
                <w:rFonts w:hint="eastAsia" w:ascii="宋体" w:hAnsi="宋体"/>
                <w:sz w:val="24"/>
                <w:szCs w:val="24"/>
                <w:highlight w:val="none"/>
              </w:rPr>
              <w:t>未被列入失信被执行人、重大税收违法案件当事人名单，未被列入政府采购严重违法失信行为记录名单。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5</w:t>
            </w:r>
          </w:p>
        </w:tc>
        <w:tc>
          <w:tcPr>
            <w:tcW w:w="794" w:type="pct"/>
            <w:vAlign w:val="center"/>
          </w:tcPr>
          <w:p>
            <w:pPr>
              <w:adjustRightInd w:val="0"/>
              <w:snapToGrid w:val="0"/>
              <w:jc w:val="center"/>
              <w:rPr>
                <w:rFonts w:ascii="宋体"/>
                <w:sz w:val="24"/>
                <w:szCs w:val="24"/>
                <w:highlight w:val="none"/>
              </w:rPr>
            </w:pPr>
            <w:r>
              <w:rPr>
                <w:rFonts w:hint="eastAsia" w:ascii="宋体" w:hAnsi="宋体"/>
                <w:sz w:val="24"/>
                <w:szCs w:val="24"/>
                <w:highlight w:val="none"/>
              </w:rPr>
              <w:t>特定资格</w:t>
            </w:r>
          </w:p>
        </w:tc>
        <w:tc>
          <w:tcPr>
            <w:tcW w:w="3811" w:type="pct"/>
            <w:vAlign w:val="center"/>
          </w:tcPr>
          <w:p>
            <w:pPr>
              <w:widowControl/>
              <w:adjustRightInd w:val="0"/>
              <w:snapToGrid w:val="0"/>
              <w:rPr>
                <w:rFonts w:hint="eastAsia" w:ascii="宋体" w:hAnsi="宋体" w:eastAsiaTheme="minorEastAsia"/>
                <w:sz w:val="24"/>
                <w:highlight w:val="none"/>
                <w:lang w:eastAsia="zh-CN"/>
              </w:rPr>
            </w:pPr>
            <w:r>
              <w:rPr>
                <w:rFonts w:hint="eastAsia" w:ascii="宋体" w:hAnsi="宋体"/>
                <w:color w:val="000000"/>
                <w:kern w:val="0"/>
                <w:sz w:val="24"/>
                <w:szCs w:val="24"/>
                <w:highlight w:val="none"/>
                <w:lang w:eastAsia="zh-CN"/>
              </w:rPr>
              <w:t>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6</w:t>
            </w:r>
          </w:p>
        </w:tc>
        <w:tc>
          <w:tcPr>
            <w:tcW w:w="794" w:type="pct"/>
            <w:vAlign w:val="center"/>
          </w:tcPr>
          <w:p>
            <w:pPr>
              <w:adjustRightInd w:val="0"/>
              <w:snapToGrid w:val="0"/>
              <w:jc w:val="center"/>
              <w:rPr>
                <w:rFonts w:ascii="宋体" w:hAnsi="宋体"/>
                <w:sz w:val="24"/>
                <w:szCs w:val="24"/>
                <w:highlight w:val="none"/>
              </w:rPr>
            </w:pPr>
            <w:r>
              <w:rPr>
                <w:rFonts w:hint="eastAsia" w:ascii="宋体" w:hAnsi="宋体"/>
                <w:sz w:val="24"/>
                <w:szCs w:val="24"/>
                <w:highlight w:val="none"/>
              </w:rPr>
              <w:t>联合体</w:t>
            </w:r>
          </w:p>
        </w:tc>
        <w:tc>
          <w:tcPr>
            <w:tcW w:w="3811" w:type="pct"/>
            <w:vAlign w:val="center"/>
          </w:tcPr>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本项目不接受供应商组成联合体参与磋商。</w:t>
            </w:r>
          </w:p>
        </w:tc>
      </w:tr>
      <w:bookmarkEnd w:id="94"/>
      <w:bookmarkEnd w:id="95"/>
    </w:tbl>
    <w:p>
      <w:pPr>
        <w:spacing w:line="360" w:lineRule="auto"/>
        <w:rPr>
          <w:rFonts w:ascii="宋体" w:hAnsi="宋体" w:cs="宋体"/>
          <w:color w:val="000000" w:themeColor="text1"/>
          <w:kern w:val="0"/>
          <w:sz w:val="24"/>
          <w:highlight w:val="none"/>
          <w14:textFill>
            <w14:solidFill>
              <w14:schemeClr w14:val="tx1"/>
            </w14:solidFill>
          </w14:textFill>
        </w:rPr>
      </w:pPr>
      <w:bookmarkStart w:id="96" w:name="_Hlk64727186"/>
      <w:r>
        <w:rPr>
          <w:rFonts w:hint="eastAsia" w:ascii="宋体" w:hAnsi="宋体" w:cs="宋体"/>
          <w:color w:val="000000" w:themeColor="text1"/>
          <w:kern w:val="0"/>
          <w:sz w:val="24"/>
          <w:highlight w:val="none"/>
          <w14:textFill>
            <w14:solidFill>
              <w14:schemeClr w14:val="tx1"/>
            </w14:solidFill>
          </w14:textFill>
        </w:rPr>
        <w:t>注：《中华人民共和国政府采购法》第二十二条规定详见本小节后附“政府采购法第二十二条所需证明材料一览表”列明要求。信用信息的查询要求详见第二章“信用及查询”小节要求。</w:t>
      </w:r>
    </w:p>
    <w:bookmarkEnd w:id="96"/>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 xml:space="preserve">2 </w:t>
      </w:r>
      <w:r>
        <w:rPr>
          <w:rFonts w:hint="eastAsia" w:ascii="宋体" w:hAnsi="宋体" w:eastAsia="宋体"/>
          <w:sz w:val="24"/>
          <w:szCs w:val="24"/>
          <w:highlight w:val="none"/>
        </w:rPr>
        <w:t>以上为必要合格条件，即法律、法规等规定必须满足的法定允许磋商的条件，且只进行定性评审，只要有一项不满足，其磋商函资格将被拒绝。</w:t>
      </w:r>
    </w:p>
    <w:p>
      <w:pPr>
        <w:spacing w:line="360" w:lineRule="auto"/>
        <w:jc w:val="center"/>
        <w:rPr>
          <w:b/>
          <w:bCs/>
          <w:sz w:val="28"/>
          <w:szCs w:val="28"/>
          <w:highlight w:val="none"/>
        </w:rPr>
      </w:pPr>
      <w:bookmarkStart w:id="97" w:name="_Hlk64617626"/>
      <w:r>
        <w:rPr>
          <w:rFonts w:hint="eastAsia"/>
          <w:b/>
          <w:bCs/>
          <w:sz w:val="28"/>
          <w:szCs w:val="28"/>
          <w:highlight w:val="none"/>
        </w:rPr>
        <w:t>政府采购法第二十二条所需证明材料一览表</w:t>
      </w:r>
    </w:p>
    <w:tbl>
      <w:tblPr>
        <w:tblStyle w:val="33"/>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shd w:val="clear" w:color="auto" w:fill="BEBEBE" w:themeFill="background1" w:themeFillShade="BF"/>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条款</w:t>
            </w:r>
          </w:p>
        </w:tc>
        <w:tc>
          <w:tcPr>
            <w:tcW w:w="1985" w:type="dxa"/>
            <w:shd w:val="clear" w:color="auto" w:fill="BEBEBE" w:themeFill="background1" w:themeFillShade="BF"/>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条款内容</w:t>
            </w:r>
          </w:p>
        </w:tc>
        <w:tc>
          <w:tcPr>
            <w:tcW w:w="7087" w:type="dxa"/>
            <w:shd w:val="clear" w:color="auto" w:fill="BEBEBE" w:themeFill="background1" w:themeFillShade="BF"/>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需求证明材料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1</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具有独立承担民事责任的能力；</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1、企业法人（包括合伙企业）：提供有效的“营业执照”，不能以分支机构名义参加政府采购活动；但对于银行、保险、石油石化、电力、电信等有行业特殊情况的，采购人和代理机构允许其分支机构参与本采购活动。</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2、事业单位法人：提供有效的“事业单位法人证书”；</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3、社会团体法人：提供有效的“社会团体法人登记证书”；</w:t>
            </w:r>
          </w:p>
          <w:p>
            <w:pPr>
              <w:adjustRightInd w:val="0"/>
              <w:snapToGrid w:val="0"/>
              <w:jc w:val="left"/>
              <w:rPr>
                <w:rFonts w:asciiTheme="minorEastAsia" w:hAnsiTheme="minorEastAsia"/>
                <w:sz w:val="24"/>
                <w:szCs w:val="24"/>
                <w:highlight w:val="none"/>
              </w:rPr>
            </w:pPr>
            <w:r>
              <w:rPr>
                <w:rFonts w:asciiTheme="minorEastAsia" w:hAnsiTheme="minorEastAsia"/>
                <w:sz w:val="24"/>
                <w:szCs w:val="24"/>
                <w:highlight w:val="none"/>
              </w:rPr>
              <w:t>4</w:t>
            </w:r>
            <w:r>
              <w:rPr>
                <w:rFonts w:hint="eastAsia" w:asciiTheme="minorEastAsia" w:hAnsiTheme="minorEastAsia"/>
                <w:sz w:val="24"/>
                <w:szCs w:val="24"/>
                <w:highlight w:val="none"/>
              </w:rPr>
              <w:t>、非企业专业服务机构：如律师事务所，提供执业许可证等证明文件；</w:t>
            </w:r>
          </w:p>
          <w:p>
            <w:pPr>
              <w:adjustRightInd w:val="0"/>
              <w:snapToGrid w:val="0"/>
              <w:jc w:val="left"/>
              <w:rPr>
                <w:rFonts w:asciiTheme="minorEastAsia" w:hAnsiTheme="minorEastAsia"/>
                <w:sz w:val="24"/>
                <w:szCs w:val="24"/>
                <w:highlight w:val="none"/>
              </w:rPr>
            </w:pPr>
            <w:r>
              <w:rPr>
                <w:rFonts w:asciiTheme="minorEastAsia" w:hAnsiTheme="minorEastAsia"/>
                <w:sz w:val="24"/>
                <w:szCs w:val="24"/>
                <w:highlight w:val="none"/>
              </w:rPr>
              <w:t>5</w:t>
            </w:r>
            <w:r>
              <w:rPr>
                <w:rFonts w:hint="eastAsia" w:asciiTheme="minorEastAsia" w:hAnsiTheme="minorEastAsia"/>
                <w:sz w:val="24"/>
                <w:szCs w:val="24"/>
                <w:highlight w:val="none"/>
              </w:rPr>
              <w:t>、个体工商户：提供有效的“个体工商户营业执照”；</w:t>
            </w:r>
          </w:p>
          <w:p>
            <w:pPr>
              <w:adjustRightInd w:val="0"/>
              <w:snapToGrid w:val="0"/>
              <w:jc w:val="left"/>
              <w:rPr>
                <w:rFonts w:asciiTheme="minorEastAsia" w:hAnsiTheme="minorEastAsia"/>
                <w:sz w:val="24"/>
                <w:szCs w:val="24"/>
                <w:highlight w:val="none"/>
              </w:rPr>
            </w:pPr>
            <w:r>
              <w:rPr>
                <w:rFonts w:asciiTheme="minorEastAsia" w:hAnsiTheme="minorEastAsia"/>
                <w:sz w:val="24"/>
                <w:szCs w:val="24"/>
                <w:highlight w:val="none"/>
              </w:rPr>
              <w:t>6</w:t>
            </w:r>
            <w:r>
              <w:rPr>
                <w:rFonts w:hint="eastAsia" w:asciiTheme="minorEastAsia" w:hAnsiTheme="minorEastAsia"/>
                <w:sz w:val="24"/>
                <w:szCs w:val="24"/>
                <w:highlight w:val="none"/>
              </w:rPr>
              <w:t>、自然人：提供有效的自然人身份证明（仅限中国公民）。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2</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具有良好的商业信誉和健全的财务会计制度；</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1、良好的商业信誉</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结合供应商自身实际商业信誉情况，须严格按照第七章“响应文件格式”的相关要求，提供“商业信誉承诺函”；</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2、健全的财务会计制度</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须提供企业财务状况报告来准确反映供应商的商业信誉情况，以此反映供应商是否有健全的财务会计制度。</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1）法人：提供近</w:t>
            </w:r>
            <w:r>
              <w:rPr>
                <w:rFonts w:hint="eastAsia" w:asciiTheme="minorEastAsia" w:hAnsiTheme="minorEastAsia"/>
                <w:sz w:val="24"/>
                <w:szCs w:val="24"/>
                <w:highlight w:val="none"/>
                <w:lang w:val="en-US" w:eastAsia="zh-CN"/>
              </w:rPr>
              <w:t>两</w:t>
            </w:r>
            <w:r>
              <w:rPr>
                <w:rFonts w:hint="eastAsia" w:asciiTheme="minorEastAsia" w:hAnsiTheme="minorEastAsia"/>
                <w:sz w:val="24"/>
                <w:szCs w:val="24"/>
                <w:highlight w:val="none"/>
              </w:rPr>
              <w:t>年（2019</w:t>
            </w:r>
            <w:r>
              <w:rPr>
                <w:rFonts w:hint="eastAsia" w:asciiTheme="minorEastAsia" w:hAnsiTheme="minorEastAsia"/>
                <w:color w:val="auto"/>
                <w:sz w:val="24"/>
                <w:szCs w:val="24"/>
                <w:highlight w:val="none"/>
              </w:rPr>
              <w:t>年</w:t>
            </w:r>
            <w:r>
              <w:rPr>
                <w:rFonts w:hint="eastAsia" w:asciiTheme="minorEastAsia" w:hAnsiTheme="minorEastAsia"/>
                <w:color w:val="auto"/>
                <w:sz w:val="24"/>
                <w:szCs w:val="24"/>
                <w:highlight w:val="none"/>
                <w:lang w:val="en-US" w:eastAsia="zh-CN"/>
              </w:rPr>
              <w:t>至今</w:t>
            </w:r>
            <w:r>
              <w:rPr>
                <w:rFonts w:hint="eastAsia" w:asciiTheme="minorEastAsia" w:hAnsiTheme="minorEastAsia"/>
                <w:color w:val="auto"/>
                <w:sz w:val="24"/>
                <w:szCs w:val="24"/>
                <w:highlight w:val="none"/>
              </w:rPr>
              <w:t>）</w:t>
            </w:r>
            <w:r>
              <w:rPr>
                <w:rFonts w:hint="eastAsia" w:asciiTheme="minorEastAsia" w:hAnsiTheme="minorEastAsia"/>
                <w:sz w:val="24"/>
                <w:szCs w:val="24"/>
                <w:highlight w:val="none"/>
              </w:rPr>
              <w:t>经第三方审计的完整的财务报告，或其基本开户银行出具的资信证明；</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2）其他组织和自然人：没有经第三方审计的财务报告的，可以提供银行出具的资信证明；</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3）供应商没有经第三方审计的财务报告和资信证明时，也可以提供财政部门认可的政府采购专业担保机构出具的担保函。</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备注：2</w:t>
            </w:r>
            <w:r>
              <w:rPr>
                <w:rFonts w:asciiTheme="minorEastAsia" w:hAnsiTheme="minorEastAsia"/>
                <w:sz w:val="24"/>
                <w:szCs w:val="24"/>
                <w:highlight w:val="none"/>
              </w:rPr>
              <w:t>021</w:t>
            </w:r>
            <w:r>
              <w:rPr>
                <w:rFonts w:hint="eastAsia" w:asciiTheme="minorEastAsia" w:hAnsiTheme="minorEastAsia"/>
                <w:sz w:val="24"/>
                <w:szCs w:val="24"/>
                <w:highlight w:val="none"/>
              </w:rPr>
              <w:t>年成立的公司提供公司财务的验资报告，或成立至今的供应商内部财务报表。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3</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具有履行合同所必需的设备和专业技术能力；</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1、</w:t>
            </w:r>
            <w:r>
              <w:rPr>
                <w:rFonts w:hint="eastAsia" w:ascii="宋体" w:hAnsi="宋体" w:eastAsia="宋体" w:cs="Times New Roman"/>
                <w:color w:val="000000"/>
                <w:kern w:val="0"/>
                <w:sz w:val="24"/>
                <w:szCs w:val="24"/>
                <w:highlight w:val="none"/>
              </w:rPr>
              <w:t>提供履行本项目合同所必须的</w:t>
            </w:r>
            <w:r>
              <w:rPr>
                <w:rFonts w:hint="eastAsia" w:asciiTheme="minorEastAsia" w:hAnsiTheme="minorEastAsia"/>
                <w:sz w:val="24"/>
                <w:szCs w:val="24"/>
                <w:highlight w:val="none"/>
              </w:rPr>
              <w:t>设施设备证明材料；</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2、</w:t>
            </w:r>
            <w:r>
              <w:rPr>
                <w:rFonts w:hint="eastAsia" w:ascii="宋体" w:hAnsi="宋体" w:eastAsia="宋体" w:cs="Times New Roman"/>
                <w:color w:val="000000"/>
                <w:kern w:val="0"/>
                <w:sz w:val="24"/>
                <w:szCs w:val="24"/>
                <w:highlight w:val="none"/>
              </w:rPr>
              <w:t>提供履行本项目合同所必须的项目管理和技术团队人员信息资料。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4</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有依法缴纳税收和社会保障资金的良好记录；</w:t>
            </w:r>
          </w:p>
        </w:tc>
        <w:tc>
          <w:tcPr>
            <w:tcW w:w="7087" w:type="dxa"/>
            <w:vAlign w:val="center"/>
          </w:tcPr>
          <w:p>
            <w:pPr>
              <w:adjustRightInd w:val="0"/>
              <w:snapToGrid w:val="0"/>
              <w:jc w:val="left"/>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rPr>
              <w:t>近六个月（</w:t>
            </w:r>
            <w:r>
              <w:rPr>
                <w:rFonts w:hint="eastAsia" w:asciiTheme="minorEastAsia" w:hAnsiTheme="minorEastAsia"/>
                <w:sz w:val="24"/>
                <w:szCs w:val="24"/>
                <w:highlight w:val="none"/>
                <w:lang w:eastAsia="zh-CN"/>
              </w:rPr>
              <w:t>202</w:t>
            </w:r>
            <w:r>
              <w:rPr>
                <w:rFonts w:hint="eastAsia" w:asciiTheme="minorEastAsia" w:hAnsiTheme="minorEastAsia"/>
                <w:sz w:val="24"/>
                <w:szCs w:val="24"/>
                <w:highlight w:val="none"/>
                <w:lang w:val="en-US" w:eastAsia="zh-CN"/>
              </w:rPr>
              <w:t>1</w:t>
            </w:r>
            <w:r>
              <w:rPr>
                <w:rFonts w:hint="eastAsia" w:asciiTheme="minorEastAsia" w:hAnsiTheme="minorEastAsia"/>
                <w:sz w:val="24"/>
                <w:szCs w:val="24"/>
                <w:highlight w:val="none"/>
              </w:rPr>
              <w:t>年</w:t>
            </w:r>
            <w:r>
              <w:rPr>
                <w:rFonts w:hint="eastAsia" w:asciiTheme="minorEastAsia" w:hAnsiTheme="minorEastAsia"/>
                <w:sz w:val="24"/>
                <w:szCs w:val="24"/>
                <w:highlight w:val="none"/>
                <w:lang w:val="en-US" w:eastAsia="zh-CN"/>
              </w:rPr>
              <w:t>2</w:t>
            </w:r>
            <w:r>
              <w:rPr>
                <w:rFonts w:hint="eastAsia" w:asciiTheme="minorEastAsia" w:hAnsiTheme="minorEastAsia"/>
                <w:sz w:val="24"/>
                <w:szCs w:val="24"/>
                <w:highlight w:val="none"/>
              </w:rPr>
              <w:t>月至今）任意一个月依法缴纳税收</w:t>
            </w:r>
            <w:r>
              <w:rPr>
                <w:rFonts w:hint="eastAsia" w:asciiTheme="minorEastAsia" w:hAnsiTheme="minorEastAsia"/>
                <w:sz w:val="24"/>
                <w:szCs w:val="24"/>
                <w:highlight w:val="none"/>
                <w:lang w:eastAsia="zh-CN"/>
              </w:rPr>
              <w:t>和</w:t>
            </w:r>
            <w:r>
              <w:rPr>
                <w:rFonts w:hint="eastAsia" w:asciiTheme="minorEastAsia" w:hAnsiTheme="minorEastAsia"/>
                <w:sz w:val="24"/>
                <w:szCs w:val="24"/>
                <w:highlight w:val="none"/>
              </w:rPr>
              <w:t>社会保障资金的证明材料</w:t>
            </w:r>
            <w:r>
              <w:rPr>
                <w:rFonts w:hint="eastAsia" w:asciiTheme="minorEastAsia" w:hAnsiTheme="minorEastAsia"/>
                <w:sz w:val="24"/>
                <w:szCs w:val="24"/>
                <w:highlight w:val="none"/>
                <w:lang w:eastAsia="zh-CN"/>
              </w:rPr>
              <w:t>。</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注：</w:t>
            </w:r>
            <w:r>
              <w:rPr>
                <w:rFonts w:hint="eastAsia" w:ascii="宋体" w:hAnsi="宋体" w:eastAsia="宋体" w:cs="Times New Roman"/>
                <w:color w:val="000000"/>
                <w:kern w:val="0"/>
                <w:sz w:val="24"/>
                <w:szCs w:val="24"/>
                <w:highlight w:val="none"/>
              </w:rPr>
              <w:t>依法免税和不需要缴纳社会保险的供应商，应提供相应文件证明其依法免税和不需要缴纳社会保险。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5</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参加本次政府采购活动前三年内，在经营活动中没有重大违法记录；</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结合供应商自身实际商业信誉情况，须严格按照第七章“响应文件格式”的相关要求，提供“参加政府采购活动前三年内在经营活动中无重大违法记录声明函”。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6</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法律、行政法规规定的其他条件。</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国家对生产和销售相关产品或提供相关服务有专门法律、行政法规规定的，则必须提供取得国家有关主管部门行政许可的证明材料。</w:t>
            </w:r>
          </w:p>
        </w:tc>
      </w:tr>
    </w:tbl>
    <w:p>
      <w:pPr>
        <w:rPr>
          <w:highlight w:val="none"/>
        </w:rPr>
      </w:pPr>
    </w:p>
    <w:bookmarkEnd w:id="97"/>
    <w:p>
      <w:pPr>
        <w:pStyle w:val="5"/>
        <w:rPr>
          <w:sz w:val="30"/>
          <w:szCs w:val="30"/>
          <w:highlight w:val="none"/>
        </w:rPr>
      </w:pPr>
      <w:bookmarkStart w:id="98" w:name="_Toc38457854"/>
      <w:bookmarkStart w:id="99" w:name="_Toc65158804"/>
      <w:r>
        <w:rPr>
          <w:rFonts w:hint="eastAsia"/>
          <w:sz w:val="30"/>
          <w:szCs w:val="30"/>
          <w:highlight w:val="none"/>
        </w:rPr>
        <w:t>符合性审查</w:t>
      </w:r>
      <w:bookmarkEnd w:id="98"/>
      <w:bookmarkEnd w:id="99"/>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 xml:space="preserve">1 </w:t>
      </w:r>
      <w:r>
        <w:rPr>
          <w:rFonts w:hint="eastAsia" w:ascii="宋体" w:hAnsi="宋体" w:eastAsia="宋体"/>
          <w:sz w:val="24"/>
          <w:szCs w:val="24"/>
          <w:highlight w:val="none"/>
        </w:rPr>
        <w:t>磋商小组应当对符合资格的供应商的竞争性磋商响应文件进行符合性审查，以确定其是否满足竞争性磋商文件的实质性要求。符合性审查出现下列情形之一的其磋商文件按无效响应处理：</w:t>
      </w:r>
    </w:p>
    <w:p>
      <w:pPr>
        <w:jc w:val="center"/>
        <w:rPr>
          <w:b/>
          <w:bCs/>
          <w:sz w:val="28"/>
          <w:szCs w:val="28"/>
          <w:highlight w:val="none"/>
        </w:rPr>
      </w:pPr>
      <w:bookmarkStart w:id="100" w:name="_Hlk38452532"/>
      <w:r>
        <w:rPr>
          <w:rFonts w:hint="eastAsia"/>
          <w:b/>
          <w:bCs/>
          <w:sz w:val="28"/>
          <w:szCs w:val="28"/>
          <w:highlight w:val="none"/>
        </w:rPr>
        <w:t>符合性审查表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6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04" w:type="dxa"/>
            <w:shd w:val="clear" w:color="auto" w:fill="BEBEBE" w:themeFill="background1" w:themeFillShade="BF"/>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序号</w:t>
            </w:r>
          </w:p>
        </w:tc>
        <w:tc>
          <w:tcPr>
            <w:tcW w:w="1276" w:type="dxa"/>
            <w:shd w:val="clear" w:color="auto" w:fill="BEBEBE" w:themeFill="background1" w:themeFillShade="BF"/>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条款名称</w:t>
            </w:r>
          </w:p>
        </w:tc>
        <w:tc>
          <w:tcPr>
            <w:tcW w:w="6910" w:type="dxa"/>
            <w:shd w:val="clear" w:color="auto" w:fill="BEBEBE" w:themeFill="background1" w:themeFillShade="BF"/>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具体情形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1</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磋商报价</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磋商报价超过项目（分包）预算金额或最高限价的、或磋商报价存在缺项、漏项的；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2</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格式文件</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《磋商函》《报价一览表》、《法定代表人资格证明书》、《法定代表人授权委托书》和《报价明细表》未提供或不符合竞争性磋商文件要求的；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3</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相关期限</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合同履行期限不符合竞争性磋商文件要求的；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4</w:t>
            </w:r>
          </w:p>
        </w:tc>
        <w:tc>
          <w:tcPr>
            <w:tcW w:w="1276" w:type="dxa"/>
            <w:vAlign w:val="center"/>
          </w:tcPr>
          <w:p>
            <w:pPr>
              <w:jc w:val="center"/>
              <w:rPr>
                <w:rFonts w:ascii="宋体" w:hAnsi="宋体" w:eastAsia="宋体"/>
                <w:sz w:val="24"/>
                <w:szCs w:val="24"/>
                <w:highlight w:val="none"/>
              </w:rPr>
            </w:pPr>
            <w:r>
              <w:rPr>
                <w:rFonts w:hint="eastAsia" w:cs="宋体" w:asciiTheme="minorEastAsia" w:hAnsiTheme="minorEastAsia"/>
                <w:color w:val="000000" w:themeColor="text1"/>
                <w:kern w:val="0"/>
                <w:sz w:val="24"/>
                <w:szCs w:val="24"/>
                <w:highlight w:val="none"/>
                <w14:textFill>
                  <w14:solidFill>
                    <w14:schemeClr w14:val="tx1"/>
                  </w14:solidFill>
                </w14:textFill>
              </w:rPr>
              <w:t>所投标的</w:t>
            </w:r>
          </w:p>
        </w:tc>
        <w:tc>
          <w:tcPr>
            <w:tcW w:w="6910" w:type="dxa"/>
            <w:vAlign w:val="center"/>
          </w:tcPr>
          <w:p>
            <w:pPr>
              <w:jc w:val="left"/>
              <w:rPr>
                <w:rFonts w:ascii="宋体" w:hAnsi="宋体" w:eastAsia="宋体"/>
                <w:sz w:val="24"/>
                <w:szCs w:val="24"/>
                <w:highlight w:val="none"/>
              </w:rPr>
            </w:pPr>
            <w:r>
              <w:rPr>
                <w:rFonts w:hint="eastAsia" w:cs="宋体" w:asciiTheme="minorEastAsia" w:hAnsiTheme="minorEastAsia"/>
                <w:color w:val="000000" w:themeColor="text1"/>
                <w:kern w:val="0"/>
                <w:sz w:val="24"/>
                <w:szCs w:val="24"/>
                <w:highlight w:val="none"/>
                <w14:textFill>
                  <w14:solidFill>
                    <w14:schemeClr w14:val="tx1"/>
                  </w14:solidFill>
                </w14:textFill>
              </w:rPr>
              <w:t>所投标的是否存在重大负偏离；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5</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技术方案</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出现两个或两个以上技术方案的（竞争性磋商文件中要求提供备选方案的除外）；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6</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有效期</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磋商有效期不满足竞争性磋商文件要求的；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7</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签署授权</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无法定代表人签字（签章）或签字人无法定代表人有效授权的；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8</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正本签章</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正本未按要求提供加盖公章及签字（签章）原件的；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9</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需求响应</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未提供所投服务的具体参数值或功能表述，或原文复制竞争性磋商文件的技术规格相关部分内容作为其竞争性磋商响应文件的一部分的，或不满足竞争性磋商文件第三章“项目技术、服务和商务要求”中“★”号条款要求的（如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0</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附加条件</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1</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其他情形</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1、法律、法规和本文件规定的其他无效响应情形。</w:t>
            </w:r>
          </w:p>
          <w:p>
            <w:pPr>
              <w:jc w:val="left"/>
              <w:rPr>
                <w:rFonts w:ascii="宋体" w:hAnsi="宋体" w:eastAsia="宋体"/>
                <w:sz w:val="24"/>
                <w:szCs w:val="24"/>
                <w:highlight w:val="none"/>
              </w:rPr>
            </w:pPr>
            <w:r>
              <w:rPr>
                <w:rFonts w:hint="eastAsia" w:ascii="宋体" w:hAnsi="宋体" w:eastAsia="宋体"/>
                <w:sz w:val="24"/>
                <w:szCs w:val="24"/>
                <w:highlight w:val="none"/>
              </w:rPr>
              <w:t>2、未按要求提供本文件第二章“注意事项”小节中规定的书面声明的。</w:t>
            </w:r>
          </w:p>
        </w:tc>
      </w:tr>
      <w:bookmarkEnd w:id="100"/>
    </w:tbl>
    <w:p>
      <w:pPr>
        <w:rPr>
          <w:highlight w:val="none"/>
        </w:rPr>
      </w:pP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w:t>
      </w:r>
      <w:r>
        <w:rPr>
          <w:rFonts w:ascii="宋体" w:hAnsi="宋体" w:eastAsia="宋体"/>
          <w:sz w:val="24"/>
          <w:szCs w:val="24"/>
          <w:highlight w:val="none"/>
        </w:rPr>
        <w:t xml:space="preserve">2 </w:t>
      </w:r>
      <w:r>
        <w:rPr>
          <w:rFonts w:hint="eastAsia" w:ascii="宋体" w:hAnsi="宋体" w:eastAsia="宋体"/>
          <w:sz w:val="24"/>
          <w:szCs w:val="24"/>
          <w:highlight w:val="none"/>
        </w:rPr>
        <w:t>重大负偏离是指供应商所提供的货物（或服务）明显不能满足竞争性谈判文件的要求。重大负偏离的认定需经评标委员会三分之二以上成员的同意，存在重大负偏离的响应文件将被做无效响应处理。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w:t>
      </w:r>
      <w:r>
        <w:rPr>
          <w:rFonts w:ascii="宋体" w:hAnsi="宋体" w:eastAsia="宋体"/>
          <w:sz w:val="24"/>
          <w:szCs w:val="24"/>
          <w:highlight w:val="none"/>
        </w:rPr>
        <w:t xml:space="preserve">3 </w:t>
      </w:r>
      <w:r>
        <w:rPr>
          <w:rFonts w:hint="eastAsia" w:ascii="宋体" w:hAnsi="宋体" w:eastAsia="宋体"/>
          <w:sz w:val="24"/>
          <w:szCs w:val="24"/>
          <w:highlight w:val="none"/>
        </w:rPr>
        <w:t>符合上述要求的供应商进入谈判，不符合要求的供应商响应无效、退出谈判。</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w:t>
      </w:r>
      <w:r>
        <w:rPr>
          <w:rFonts w:ascii="宋体" w:hAnsi="宋体" w:eastAsia="宋体"/>
          <w:sz w:val="24"/>
          <w:szCs w:val="24"/>
          <w:highlight w:val="none"/>
        </w:rPr>
        <w:t>4 谈判小组应当对响应文件进行</w:t>
      </w:r>
      <w:r>
        <w:rPr>
          <w:rFonts w:hint="eastAsia" w:ascii="宋体" w:hAnsi="宋体" w:eastAsia="宋体"/>
          <w:sz w:val="24"/>
          <w:szCs w:val="24"/>
          <w:highlight w:val="none"/>
        </w:rPr>
        <w:t>商务评审和技术评审</w:t>
      </w:r>
      <w:r>
        <w:rPr>
          <w:rFonts w:ascii="宋体" w:hAnsi="宋体" w:eastAsia="宋体"/>
          <w:sz w:val="24"/>
          <w:szCs w:val="24"/>
          <w:highlight w:val="none"/>
        </w:rPr>
        <w:t>，并根据谈判文件规定的程序、评定成交的标准等事项与实质性响应谈判文件要求的供应商进行谈判。未实质性响应谈判文件的响应文件按无效响应处理，谈判小组应当告知有关供应商</w:t>
      </w:r>
      <w:r>
        <w:rPr>
          <w:rFonts w:hint="eastAsia" w:ascii="宋体" w:hAnsi="宋体" w:eastAsia="宋体"/>
          <w:sz w:val="24"/>
          <w:szCs w:val="24"/>
          <w:highlight w:val="none"/>
        </w:rPr>
        <w:t>。</w:t>
      </w:r>
    </w:p>
    <w:p>
      <w:pPr>
        <w:rPr>
          <w:highlight w:val="none"/>
        </w:rPr>
      </w:pPr>
    </w:p>
    <w:p>
      <w:pPr>
        <w:pStyle w:val="5"/>
        <w:rPr>
          <w:sz w:val="30"/>
          <w:szCs w:val="30"/>
          <w:highlight w:val="none"/>
        </w:rPr>
      </w:pPr>
      <w:bookmarkStart w:id="101" w:name="_Toc65158805"/>
      <w:r>
        <w:rPr>
          <w:rFonts w:hint="eastAsia"/>
          <w:sz w:val="30"/>
          <w:szCs w:val="30"/>
          <w:highlight w:val="none"/>
        </w:rPr>
        <w:t>磋商及报价</w:t>
      </w:r>
      <w:bookmarkEnd w:id="101"/>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3.1 </w:t>
      </w:r>
      <w:r>
        <w:rPr>
          <w:rFonts w:hint="eastAsia" w:ascii="宋体" w:hAnsi="宋体" w:eastAsia="宋体"/>
          <w:sz w:val="24"/>
          <w:szCs w:val="24"/>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3.2 </w:t>
      </w:r>
      <w:r>
        <w:rPr>
          <w:rFonts w:hint="eastAsia" w:ascii="宋体" w:hAnsi="宋体" w:eastAsia="宋体"/>
          <w:sz w:val="24"/>
          <w:szCs w:val="24"/>
          <w:highlight w:val="none"/>
        </w:rPr>
        <w:t>磋商小组所有成员集中与单一供应商分别进行磋商，并给予所有参加磋商的供应商平等的磋商机会。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修正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3.3 </w:t>
      </w:r>
      <w:r>
        <w:rPr>
          <w:rFonts w:hint="eastAsia" w:ascii="宋体" w:hAnsi="宋体" w:eastAsia="宋体"/>
          <w:sz w:val="24"/>
          <w:szCs w:val="24"/>
          <w:highlight w:val="none"/>
        </w:rPr>
        <w:t>竞争性磋商响应文件报价出现前后不一致的，按照下列规定修正：</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3.</w:t>
      </w:r>
      <w:r>
        <w:rPr>
          <w:rFonts w:hint="eastAsia" w:ascii="宋体" w:hAnsi="宋体" w:eastAsia="宋体"/>
          <w:sz w:val="24"/>
          <w:szCs w:val="24"/>
          <w:highlight w:val="none"/>
        </w:rPr>
        <w:t>3.</w:t>
      </w:r>
      <w:r>
        <w:rPr>
          <w:rFonts w:ascii="宋体" w:hAnsi="宋体" w:eastAsia="宋体"/>
          <w:sz w:val="24"/>
          <w:szCs w:val="24"/>
          <w:highlight w:val="none"/>
        </w:rPr>
        <w:t>1</w:t>
      </w:r>
      <w:r>
        <w:rPr>
          <w:rFonts w:hint="eastAsia" w:ascii="宋体" w:hAnsi="宋体" w:eastAsia="宋体"/>
          <w:sz w:val="24"/>
          <w:szCs w:val="24"/>
          <w:highlight w:val="none"/>
        </w:rPr>
        <w:t xml:space="preserve"> 大写金额和小写金额不一致的，以大写金额为准。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3.</w:t>
      </w:r>
      <w:r>
        <w:rPr>
          <w:rFonts w:hint="eastAsia" w:ascii="宋体" w:hAnsi="宋体" w:eastAsia="宋体"/>
          <w:sz w:val="24"/>
          <w:szCs w:val="24"/>
          <w:highlight w:val="none"/>
        </w:rPr>
        <w:t>3.</w:t>
      </w:r>
      <w:r>
        <w:rPr>
          <w:rFonts w:ascii="宋体" w:hAnsi="宋体" w:eastAsia="宋体"/>
          <w:sz w:val="24"/>
          <w:szCs w:val="24"/>
          <w:highlight w:val="none"/>
        </w:rPr>
        <w:t>2</w:t>
      </w:r>
      <w:r>
        <w:rPr>
          <w:rFonts w:hint="eastAsia" w:ascii="宋体" w:hAnsi="宋体" w:eastAsia="宋体"/>
          <w:sz w:val="24"/>
          <w:szCs w:val="24"/>
          <w:highlight w:val="none"/>
        </w:rPr>
        <w:t xml:space="preserve"> 单价金额小数点或者百分比有明显错位的，以报价一览表的总价为准，并修改单价。</w:t>
      </w: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3.3.</w:t>
      </w:r>
      <w:r>
        <w:rPr>
          <w:rFonts w:ascii="宋体" w:hAnsi="宋体" w:eastAsia="宋体"/>
          <w:sz w:val="24"/>
          <w:szCs w:val="24"/>
          <w:highlight w:val="none"/>
        </w:rPr>
        <w:t>3</w:t>
      </w:r>
      <w:r>
        <w:rPr>
          <w:rFonts w:hint="eastAsia" w:ascii="宋体" w:hAnsi="宋体" w:eastAsia="宋体"/>
          <w:sz w:val="24"/>
          <w:szCs w:val="24"/>
          <w:highlight w:val="none"/>
        </w:rPr>
        <w:t xml:space="preserve"> 总价金额与按单价汇总金额不一致的，以单价金额计算结果为准。</w:t>
      </w: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3.3.</w:t>
      </w:r>
      <w:r>
        <w:rPr>
          <w:rFonts w:ascii="宋体" w:hAnsi="宋体" w:eastAsia="宋体"/>
          <w:sz w:val="24"/>
          <w:szCs w:val="24"/>
          <w:highlight w:val="none"/>
        </w:rPr>
        <w:t>4</w:t>
      </w:r>
      <w:r>
        <w:rPr>
          <w:rFonts w:hint="eastAsia" w:ascii="宋体" w:hAnsi="宋体" w:eastAsia="宋体"/>
          <w:sz w:val="24"/>
          <w:szCs w:val="24"/>
          <w:highlight w:val="none"/>
        </w:rPr>
        <w:t xml:space="preserve"> 同时出现两种以上不一致的，按照前款规定的顺序修正。</w:t>
      </w: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3.3.</w:t>
      </w:r>
      <w:r>
        <w:rPr>
          <w:rFonts w:ascii="宋体" w:hAnsi="宋体" w:eastAsia="宋体"/>
          <w:sz w:val="24"/>
          <w:szCs w:val="24"/>
          <w:highlight w:val="none"/>
        </w:rPr>
        <w:t>5</w:t>
      </w:r>
      <w:r>
        <w:rPr>
          <w:rFonts w:hint="eastAsia" w:ascii="宋体" w:hAnsi="宋体" w:eastAsia="宋体"/>
          <w:sz w:val="24"/>
          <w:szCs w:val="24"/>
          <w:highlight w:val="none"/>
        </w:rPr>
        <w:t xml:space="preserve"> 修正后的报价按照本节第4条规定经供应商确认后产生约束力，供应商不确认的，按照无效响应处理。</w:t>
      </w: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4</w:t>
      </w:r>
      <w:r>
        <w:rPr>
          <w:rFonts w:hint="eastAsia" w:ascii="宋体" w:hAnsi="宋体" w:eastAsia="宋体"/>
          <w:sz w:val="24"/>
          <w:szCs w:val="24"/>
          <w:highlight w:val="none"/>
        </w:rPr>
        <w:t xml:space="preserve"> 磋商结束后，磋商小组应当要求所有实质性响应的供应商在规定时间内提交最后报价，提交最后报价的供应商不得少于3家。最后报价是供应商响应文件的有效组成部分。采用竞争性磋商采购方式采购的政府购买服务项目（含政府和社会资本合作项目），在采购过程中符合要求的供应商（社会资本）只有2家的，竞争性磋商采购活动可以继续进行。市场竞争不充分的科研项目，以及需要扶持的科技成果转化项目，提交最后报价的供应商可以为2家。</w:t>
      </w:r>
    </w:p>
    <w:p>
      <w:pPr>
        <w:pStyle w:val="5"/>
        <w:rPr>
          <w:sz w:val="30"/>
          <w:szCs w:val="30"/>
          <w:highlight w:val="none"/>
        </w:rPr>
      </w:pPr>
      <w:bookmarkStart w:id="102" w:name="_Toc65158806"/>
      <w:bookmarkStart w:id="103" w:name="_Toc38457856"/>
      <w:r>
        <w:rPr>
          <w:rFonts w:hint="eastAsia"/>
          <w:sz w:val="30"/>
          <w:szCs w:val="30"/>
          <w:highlight w:val="none"/>
        </w:rPr>
        <w:t>综合评比</w:t>
      </w:r>
      <w:bookmarkEnd w:id="102"/>
      <w:bookmarkEnd w:id="103"/>
    </w:p>
    <w:p>
      <w:pPr>
        <w:spacing w:line="360" w:lineRule="auto"/>
        <w:ind w:firstLine="480" w:firstLineChars="200"/>
        <w:rPr>
          <w:rFonts w:ascii="宋体" w:hAnsi="宋体" w:eastAsia="宋体"/>
          <w:sz w:val="24"/>
          <w:szCs w:val="24"/>
          <w:highlight w:val="none"/>
        </w:rPr>
      </w:pPr>
      <w:bookmarkStart w:id="104" w:name="_Hlk65161047"/>
      <w:r>
        <w:rPr>
          <w:rFonts w:hint="eastAsia" w:ascii="宋体" w:hAnsi="宋体" w:eastAsia="宋体"/>
          <w:sz w:val="24"/>
          <w:szCs w:val="24"/>
          <w:highlight w:val="none"/>
        </w:rPr>
        <w:t>4.</w:t>
      </w:r>
      <w:r>
        <w:rPr>
          <w:rFonts w:ascii="宋体" w:hAnsi="宋体" w:eastAsia="宋体"/>
          <w:sz w:val="24"/>
          <w:szCs w:val="24"/>
          <w:highlight w:val="none"/>
        </w:rPr>
        <w:t xml:space="preserve">1 </w:t>
      </w:r>
      <w:r>
        <w:rPr>
          <w:rFonts w:hint="eastAsia" w:ascii="宋体" w:hAnsi="宋体" w:eastAsia="宋体"/>
          <w:sz w:val="24"/>
          <w:szCs w:val="24"/>
          <w:highlight w:val="none"/>
        </w:rPr>
        <w:t>磋商小组成员应当按照客观、公正、审慎的原则，根据磋商文件规定的评审程序、评审方法和评审标准进行独立评审。经磋商确定最终采购需求和提交最后报价的供应商后，由磋商小组采用综合评分法对提交最后报价的供应商的响应文件和最后报价进行综合评分。</w:t>
      </w:r>
    </w:p>
    <w:p>
      <w:pPr>
        <w:spacing w:line="360" w:lineRule="auto"/>
        <w:ind w:firstLine="480" w:firstLineChars="200"/>
        <w:rPr>
          <w:rFonts w:ascii="宋体" w:hAnsi="宋体" w:eastAsia="宋体"/>
          <w:sz w:val="24"/>
          <w:szCs w:val="24"/>
          <w:highlight w:val="none"/>
        </w:rPr>
      </w:pPr>
      <w:bookmarkStart w:id="105" w:name="_Hlk65152810"/>
      <w:r>
        <w:rPr>
          <w:rFonts w:ascii="宋体" w:hAnsi="宋体" w:eastAsia="宋体"/>
          <w:sz w:val="24"/>
          <w:szCs w:val="24"/>
          <w:highlight w:val="none"/>
        </w:rPr>
        <w:t xml:space="preserve">4.2 </w:t>
      </w:r>
      <w:r>
        <w:rPr>
          <w:rFonts w:hint="eastAsia" w:ascii="宋体" w:hAnsi="宋体" w:eastAsia="宋体"/>
          <w:sz w:val="24"/>
          <w:szCs w:val="24"/>
          <w:highlight w:val="none"/>
        </w:rPr>
        <w:t>商务评议。磋商小组对符合性审查合格的竞争性磋商响应文件进行评议，并依据本章“评审因素及评分标准”中的商务部分进行综合比较和评分。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4.3 </w:t>
      </w:r>
      <w:r>
        <w:rPr>
          <w:rFonts w:hint="eastAsia" w:ascii="宋体" w:hAnsi="宋体" w:eastAsia="宋体"/>
          <w:sz w:val="24"/>
          <w:szCs w:val="24"/>
          <w:highlight w:val="none"/>
        </w:rPr>
        <w:t>技术评议。磋商小组对符合性审查合格的竞争性磋商响应文件进行评议，并依据本章“评审因素及评分标准”中的技术部分进行综合比较和评分。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4.4 </w:t>
      </w:r>
      <w:r>
        <w:rPr>
          <w:rFonts w:hint="eastAsia" w:ascii="宋体" w:hAnsi="宋体" w:eastAsia="宋体"/>
          <w:sz w:val="24"/>
          <w:szCs w:val="24"/>
          <w:highlight w:val="none"/>
        </w:rPr>
        <w:t>价格评议</w:t>
      </w:r>
      <w:bookmarkStart w:id="106" w:name="_Hlk65150780"/>
      <w:bookmarkStart w:id="107" w:name="_Hlk65150709"/>
      <w:bookmarkStart w:id="108" w:name="_Toc38457857"/>
      <w:r>
        <w:rPr>
          <w:rFonts w:hint="eastAsia" w:ascii="宋体" w:hAnsi="宋体" w:eastAsia="宋体"/>
          <w:sz w:val="24"/>
          <w:szCs w:val="24"/>
          <w:highlight w:val="none"/>
        </w:rPr>
        <w:t>。磋商小组对符合性审查合格的竞争性磋商响应文件进行价格评议（执行国家统一定价标准和采用固定价格采购的项目，其价格不列为评审因素），价格分采用低价优先法计算，即满足竞争性磋商文件要求且最后报价（落实政府采购政策进行价格调整的，以调整后的价格计算）最低的磋商报价为评标基准价，其价格分为满分。其他供应商的价格分计算详见本章“评审因素及评分标准”中的具体计算公式。</w:t>
      </w:r>
    </w:p>
    <w:bookmarkEnd w:id="104"/>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4.5</w:t>
      </w:r>
      <w:r>
        <w:rPr>
          <w:rFonts w:hint="eastAsia" w:ascii="宋体" w:hAnsi="宋体" w:eastAsia="宋体"/>
          <w:sz w:val="24"/>
          <w:szCs w:val="24"/>
          <w:highlight w:val="none"/>
        </w:rPr>
        <w:t xml:space="preserve"> 报价合理性说明。磋商小组认为供应商的磋商报价不合理或明显低于其他供应商磋商报价或者明显低于采购限价，使得其磋商报价可能低于其个别成本的，磋商小组有权要求该供应商在规定的时间内现场作合理的说明，供应商现场不能合理说明或者不能提供有效证明材料的，其报价将按无效响应处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4.6</w:t>
      </w:r>
      <w:r>
        <w:rPr>
          <w:rFonts w:hint="eastAsia" w:ascii="宋体" w:hAnsi="宋体" w:eastAsia="宋体"/>
          <w:sz w:val="24"/>
          <w:szCs w:val="24"/>
          <w:highlight w:val="none"/>
        </w:rPr>
        <w:t xml:space="preserve"> 小型和微型企业、监狱企业、残疾人福利性单位价格扣除：</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4.6.1</w:t>
      </w:r>
      <w:r>
        <w:rPr>
          <w:rFonts w:hint="eastAsia" w:ascii="宋体" w:hAnsi="宋体" w:eastAsia="宋体"/>
          <w:sz w:val="24"/>
          <w:szCs w:val="24"/>
          <w:highlight w:val="none"/>
        </w:rPr>
        <w:t xml:space="preserve"> 非专门面向中小企业的服务类采购项目，供应商是小型和微型企业的价格给予6%的扣除，用扣除后的价格参与评审。</w:t>
      </w:r>
      <w:r>
        <w:rPr>
          <w:rFonts w:hint="eastAsia" w:ascii="宋体" w:hAnsi="宋体" w:eastAsia="宋体"/>
          <w:b/>
          <w:bCs/>
          <w:sz w:val="24"/>
          <w:szCs w:val="24"/>
          <w:highlight w:val="none"/>
        </w:rPr>
        <w:t>供应商须提供“中小企业声明函”和“中小企业划型标准”表中指明的相关数据的证明材料，否则不予认可。</w:t>
      </w:r>
      <w:r>
        <w:rPr>
          <w:rFonts w:hint="eastAsia" w:ascii="宋体" w:hAnsi="宋体" w:eastAsia="宋体"/>
          <w:sz w:val="24"/>
          <w:szCs w:val="24"/>
          <w:highlight w:val="none"/>
        </w:rPr>
        <w:t>具体格式和要求详见本竞争性磋商文件第七章“相关附件及要求”相应内容。</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4.6.2</w:t>
      </w:r>
      <w:r>
        <w:rPr>
          <w:rFonts w:hint="eastAsia" w:ascii="宋体" w:hAnsi="宋体" w:eastAsia="宋体"/>
          <w:sz w:val="24"/>
          <w:szCs w:val="24"/>
          <w:highlight w:val="none"/>
        </w:rPr>
        <w:t xml:space="preserve"> 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3%的价格扣除，不重复享受政策。</w:t>
      </w:r>
      <w:bookmarkStart w:id="109" w:name="_Hlk65153564"/>
      <w:r>
        <w:rPr>
          <w:rFonts w:hint="eastAsia" w:ascii="宋体" w:hAnsi="宋体" w:eastAsia="宋体"/>
          <w:b/>
          <w:bCs/>
          <w:sz w:val="24"/>
          <w:szCs w:val="24"/>
          <w:highlight w:val="none"/>
        </w:rPr>
        <w:t>须提供相应磋商主体的“中小企业声明函”和“中小企业划型标准”表中指明的相关数据的证明材料，以及协议合同金额占比说明，否则不予认可。</w:t>
      </w:r>
      <w:r>
        <w:rPr>
          <w:rFonts w:hint="eastAsia" w:ascii="宋体" w:hAnsi="宋体" w:eastAsia="宋体"/>
          <w:sz w:val="24"/>
          <w:szCs w:val="24"/>
          <w:highlight w:val="none"/>
        </w:rPr>
        <w:t>具体格式和要求详见本竞争性磋商文件第七章“相关附件及要求”相应内容。</w:t>
      </w:r>
      <w:bookmarkEnd w:id="109"/>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4.6.3</w:t>
      </w:r>
      <w:r>
        <w:rPr>
          <w:rFonts w:hint="eastAsia" w:ascii="宋体" w:hAnsi="宋体" w:eastAsia="宋体"/>
          <w:sz w:val="24"/>
          <w:szCs w:val="24"/>
          <w:highlight w:val="none"/>
        </w:rPr>
        <w:t xml:space="preserve"> 监狱企业、残疾人福利性单位视同小型、微型企业，享受预留份额、评审中价格扣除等政府采购促进中小企业发展的政府采购政策，残疾人福利性单位属于小型、微型企业的，不重复享受政策。</w:t>
      </w:r>
    </w:p>
    <w:bookmarkEnd w:id="106"/>
    <w:bookmarkEnd w:id="107"/>
    <w:p>
      <w:pPr>
        <w:spacing w:line="360" w:lineRule="auto"/>
        <w:ind w:firstLine="480" w:firstLineChars="200"/>
        <w:rPr>
          <w:rFonts w:ascii="宋体" w:hAnsi="宋体" w:eastAsia="宋体"/>
          <w:sz w:val="24"/>
          <w:szCs w:val="24"/>
          <w:highlight w:val="none"/>
        </w:rPr>
      </w:pPr>
      <w:bookmarkStart w:id="110" w:name="_Hlk65149056"/>
      <w:bookmarkStart w:id="111" w:name="_Hlk65153786"/>
      <w:r>
        <w:rPr>
          <w:rFonts w:ascii="宋体" w:hAnsi="宋体" w:eastAsia="宋体"/>
          <w:sz w:val="24"/>
          <w:szCs w:val="24"/>
          <w:highlight w:val="none"/>
        </w:rPr>
        <w:t>4.7</w:t>
      </w:r>
      <w:r>
        <w:rPr>
          <w:rFonts w:hint="eastAsia" w:ascii="宋体" w:hAnsi="宋体" w:eastAsia="宋体"/>
          <w:sz w:val="24"/>
          <w:szCs w:val="24"/>
          <w:highlight w:val="none"/>
        </w:rPr>
        <w:t xml:space="preserve"> 计分办法</w:t>
      </w:r>
    </w:p>
    <w:bookmarkEnd w:id="110"/>
    <w:p>
      <w:pPr>
        <w:spacing w:line="360" w:lineRule="auto"/>
        <w:ind w:firstLine="480" w:firstLineChars="200"/>
        <w:rPr>
          <w:rFonts w:ascii="宋体" w:hAnsi="宋体" w:eastAsia="宋体"/>
          <w:sz w:val="24"/>
          <w:szCs w:val="24"/>
          <w:highlight w:val="none"/>
        </w:rPr>
      </w:pPr>
      <w:bookmarkStart w:id="112" w:name="_Hlk65149087"/>
      <w:r>
        <w:rPr>
          <w:rFonts w:ascii="宋体" w:hAnsi="宋体" w:eastAsia="宋体"/>
          <w:sz w:val="24"/>
          <w:szCs w:val="24"/>
          <w:highlight w:val="none"/>
        </w:rPr>
        <w:t>4.7</w:t>
      </w:r>
      <w:r>
        <w:rPr>
          <w:rFonts w:hint="eastAsia" w:ascii="宋体" w:hAnsi="宋体" w:eastAsia="宋体"/>
          <w:sz w:val="24"/>
          <w:szCs w:val="24"/>
          <w:highlight w:val="none"/>
        </w:rPr>
        <w:t>.1 代理机构对磋商小组的评分进行复核，统计结果精确到小数点后两位。</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4.7</w:t>
      </w:r>
      <w:r>
        <w:rPr>
          <w:rFonts w:hint="eastAsia" w:ascii="宋体" w:hAnsi="宋体" w:eastAsia="宋体"/>
          <w:sz w:val="24"/>
          <w:szCs w:val="24"/>
          <w:highlight w:val="none"/>
        </w:rPr>
        <w:t>.2 各供应商的最终得分为评委所评定分数的算术平均值。</w:t>
      </w:r>
    </w:p>
    <w:bookmarkEnd w:id="111"/>
    <w:bookmarkEnd w:id="112"/>
    <w:p>
      <w:pPr>
        <w:pStyle w:val="5"/>
        <w:rPr>
          <w:sz w:val="30"/>
          <w:szCs w:val="30"/>
          <w:highlight w:val="none"/>
        </w:rPr>
      </w:pPr>
      <w:bookmarkStart w:id="113" w:name="_Toc65158807"/>
      <w:r>
        <w:rPr>
          <w:rFonts w:hint="eastAsia"/>
          <w:sz w:val="30"/>
          <w:szCs w:val="30"/>
          <w:highlight w:val="none"/>
        </w:rPr>
        <w:t>确定名单</w:t>
      </w:r>
      <w:bookmarkEnd w:id="108"/>
      <w:bookmarkEnd w:id="113"/>
    </w:p>
    <w:p>
      <w:pPr>
        <w:spacing w:line="360" w:lineRule="auto"/>
        <w:ind w:firstLine="480" w:firstLineChars="200"/>
        <w:rPr>
          <w:rFonts w:ascii="宋体" w:hAnsi="宋体" w:eastAsia="宋体"/>
          <w:sz w:val="24"/>
          <w:szCs w:val="24"/>
          <w:highlight w:val="none"/>
        </w:rPr>
      </w:pPr>
      <w:bookmarkStart w:id="114" w:name="_Toc511894519"/>
      <w:bookmarkStart w:id="115" w:name="_Toc494561963"/>
      <w:r>
        <w:rPr>
          <w:rFonts w:ascii="宋体" w:hAnsi="宋体" w:eastAsia="宋体"/>
          <w:sz w:val="24"/>
          <w:szCs w:val="24"/>
          <w:highlight w:val="none"/>
        </w:rPr>
        <w:t xml:space="preserve">5.1 </w:t>
      </w:r>
      <w:r>
        <w:rPr>
          <w:rFonts w:hint="eastAsia" w:ascii="宋体" w:hAnsi="宋体" w:eastAsia="宋体"/>
          <w:sz w:val="24"/>
          <w:szCs w:val="24"/>
          <w:highlight w:val="none"/>
        </w:rPr>
        <w:t>评审结果按评审后得分由高到低顺序排列。评审得分相同的，按照最后报价由低到高的顺序推荐。评审得分且最后报价相同的，按照技术指标优劣顺序推荐。</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5.2 </w:t>
      </w:r>
      <w:r>
        <w:rPr>
          <w:rFonts w:hint="eastAsia" w:ascii="宋体" w:hAnsi="宋体" w:eastAsia="宋体"/>
          <w:sz w:val="24"/>
          <w:szCs w:val="24"/>
          <w:highlight w:val="none"/>
        </w:rPr>
        <w:t>磋商小组依据评审结果，按各供应商的评审后得分由高到低的顺序向采购人推荐得分前三名的进入成交候选供应商名单，并形成书面的评审报告。</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5.3 </w:t>
      </w:r>
      <w:r>
        <w:rPr>
          <w:rFonts w:hint="eastAsia" w:ascii="宋体" w:hAnsi="宋体" w:eastAsia="宋体"/>
          <w:sz w:val="24"/>
          <w:szCs w:val="24"/>
          <w:highlight w:val="none"/>
        </w:rPr>
        <w:t>磋商小组应当在评审报告上签字，对自己的评审意见承担法律责任。对评审报告有异议的，应当在评审报告上签署不同意见，并说明理由，否则视为同意评审报告。</w:t>
      </w:r>
    </w:p>
    <w:bookmarkEnd w:id="105"/>
    <w:p>
      <w:pPr>
        <w:widowControl/>
        <w:jc w:val="left"/>
        <w:rPr>
          <w:rFonts w:cs="Times New Roman" w:asciiTheme="majorEastAsia" w:hAnsiTheme="majorEastAsia" w:eastAsiaTheme="majorEastAsia"/>
          <w:b/>
          <w:sz w:val="30"/>
          <w:szCs w:val="30"/>
          <w:highlight w:val="none"/>
          <w:lang w:val="zh-CN" w:eastAsia="zh-CN"/>
        </w:rPr>
      </w:pPr>
      <w:r>
        <w:rPr>
          <w:rFonts w:cs="Times New Roman" w:asciiTheme="majorEastAsia" w:hAnsiTheme="majorEastAsia"/>
          <w:bCs/>
          <w:sz w:val="30"/>
          <w:szCs w:val="30"/>
          <w:highlight w:val="none"/>
          <w:lang w:val="zh-CN" w:eastAsia="zh-CN"/>
        </w:rPr>
        <w:br w:type="page"/>
      </w:r>
    </w:p>
    <w:p>
      <w:pPr>
        <w:pStyle w:val="4"/>
        <w:jc w:val="center"/>
        <w:rPr>
          <w:sz w:val="32"/>
          <w:highlight w:val="none"/>
        </w:rPr>
      </w:pPr>
      <w:bookmarkStart w:id="116" w:name="_Toc38457858"/>
      <w:bookmarkStart w:id="117" w:name="_Toc65158808"/>
      <w:bookmarkStart w:id="118" w:name="_Toc2782589"/>
      <w:r>
        <w:rPr>
          <w:rFonts w:hint="eastAsia"/>
          <w:sz w:val="32"/>
          <w:highlight w:val="none"/>
        </w:rPr>
        <w:t>评审标准</w:t>
      </w:r>
      <w:bookmarkEnd w:id="114"/>
      <w:bookmarkEnd w:id="115"/>
      <w:bookmarkEnd w:id="116"/>
      <w:bookmarkEnd w:id="117"/>
      <w:bookmarkEnd w:id="118"/>
    </w:p>
    <w:p>
      <w:pPr>
        <w:rPr>
          <w:rFonts w:hint="eastAsia"/>
          <w:b/>
          <w:bCs/>
          <w:highlight w:val="none"/>
          <w:lang w:eastAsia="zh-CN"/>
        </w:rPr>
      </w:pPr>
      <w:bookmarkStart w:id="119" w:name="_Toc38457859"/>
      <w:r>
        <w:rPr>
          <w:rFonts w:hint="eastAsia"/>
          <w:b/>
          <w:bCs/>
          <w:highlight w:val="none"/>
          <w:lang w:eastAsia="zh-CN"/>
        </w:rPr>
        <w:t>包一评审标准：</w:t>
      </w:r>
    </w:p>
    <w:tbl>
      <w:tblPr>
        <w:tblStyle w:val="32"/>
        <w:tblpPr w:leftFromText="180" w:rightFromText="180" w:vertAnchor="text" w:horzAnchor="page" w:tblpX="1610" w:tblpY="53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359"/>
        <w:gridCol w:w="768"/>
        <w:gridCol w:w="6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2" w:type="pct"/>
            <w:shd w:val="clear" w:color="auto" w:fill="BEBEBE" w:themeFill="background1" w:themeFillShade="BF"/>
            <w:vAlign w:val="center"/>
          </w:tcPr>
          <w:p>
            <w:pPr>
              <w:adjustRightInd w:val="0"/>
              <w:snapToGrid w:val="0"/>
              <w:jc w:val="center"/>
              <w:rPr>
                <w:rFonts w:ascii="宋体" w:hAnsi="宋体" w:eastAsia="宋体"/>
                <w:sz w:val="24"/>
                <w:szCs w:val="24"/>
                <w:highlight w:val="none"/>
              </w:rPr>
            </w:pPr>
            <w:r>
              <w:rPr>
                <w:rFonts w:hint="eastAsia" w:ascii="宋体" w:hAnsi="宋体" w:eastAsia="宋体"/>
                <w:sz w:val="24"/>
                <w:szCs w:val="24"/>
                <w:highlight w:val="none"/>
              </w:rPr>
              <w:t>分部</w:t>
            </w:r>
          </w:p>
        </w:tc>
        <w:tc>
          <w:tcPr>
            <w:tcW w:w="745" w:type="pct"/>
            <w:shd w:val="clear" w:color="auto" w:fill="BEBEBE" w:themeFill="background1" w:themeFillShade="BF"/>
            <w:vAlign w:val="center"/>
          </w:tcPr>
          <w:p>
            <w:pPr>
              <w:adjustRightInd w:val="0"/>
              <w:snapToGrid w:val="0"/>
              <w:jc w:val="center"/>
              <w:rPr>
                <w:rFonts w:ascii="宋体" w:hAnsi="宋体" w:eastAsia="宋体"/>
                <w:sz w:val="24"/>
                <w:szCs w:val="24"/>
                <w:highlight w:val="none"/>
              </w:rPr>
            </w:pPr>
            <w:r>
              <w:rPr>
                <w:rFonts w:hint="eastAsia" w:ascii="宋体" w:hAnsi="宋体" w:eastAsia="宋体"/>
                <w:sz w:val="24"/>
                <w:szCs w:val="24"/>
                <w:highlight w:val="none"/>
              </w:rPr>
              <w:t>评审因素</w:t>
            </w:r>
          </w:p>
        </w:tc>
        <w:tc>
          <w:tcPr>
            <w:tcW w:w="421" w:type="pct"/>
            <w:shd w:val="clear" w:color="auto" w:fill="BEBEBE" w:themeFill="background1" w:themeFillShade="BF"/>
            <w:vAlign w:val="center"/>
          </w:tcPr>
          <w:p>
            <w:pPr>
              <w:adjustRightInd w:val="0"/>
              <w:snapToGrid w:val="0"/>
              <w:jc w:val="center"/>
              <w:rPr>
                <w:rFonts w:ascii="宋体" w:hAnsi="宋体" w:eastAsia="宋体"/>
                <w:sz w:val="24"/>
                <w:szCs w:val="24"/>
                <w:highlight w:val="none"/>
              </w:rPr>
            </w:pPr>
            <w:r>
              <w:rPr>
                <w:rFonts w:hint="eastAsia" w:ascii="宋体" w:hAnsi="宋体" w:eastAsia="宋体"/>
                <w:sz w:val="24"/>
                <w:szCs w:val="24"/>
                <w:highlight w:val="none"/>
              </w:rPr>
              <w:t>分值</w:t>
            </w:r>
          </w:p>
        </w:tc>
        <w:tc>
          <w:tcPr>
            <w:tcW w:w="3401" w:type="pct"/>
            <w:shd w:val="clear" w:color="auto" w:fill="BEBEBE" w:themeFill="background1" w:themeFillShade="BF"/>
            <w:vAlign w:val="center"/>
          </w:tcPr>
          <w:p>
            <w:pPr>
              <w:adjustRightInd w:val="0"/>
              <w:snapToGrid w:val="0"/>
              <w:jc w:val="center"/>
              <w:rPr>
                <w:rFonts w:ascii="宋体" w:hAnsi="宋体" w:eastAsia="宋体"/>
                <w:sz w:val="24"/>
                <w:szCs w:val="24"/>
                <w:highlight w:val="none"/>
              </w:rPr>
            </w:pPr>
            <w:r>
              <w:rPr>
                <w:rFonts w:hint="eastAsia" w:ascii="宋体" w:hAnsi="宋体" w:eastAsia="宋体"/>
                <w:sz w:val="24"/>
                <w:szCs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2" w:type="pct"/>
            <w:shd w:val="clear" w:color="BEBEBE" w:fill="auto"/>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价格部分</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分</w:t>
            </w:r>
          </w:p>
        </w:tc>
        <w:tc>
          <w:tcPr>
            <w:tcW w:w="745" w:type="pct"/>
            <w:shd w:val="clear" w:color="BEBEBE" w:fill="auto"/>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价格评议</w:t>
            </w:r>
          </w:p>
        </w:tc>
        <w:tc>
          <w:tcPr>
            <w:tcW w:w="421" w:type="pct"/>
            <w:shd w:val="clear" w:color="BEBEBE" w:fill="auto"/>
            <w:vAlign w:val="center"/>
          </w:tcPr>
          <w:p>
            <w:pPr>
              <w:adjustRightInd w:val="0"/>
              <w:snapToGrid w:val="0"/>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30</w:t>
            </w:r>
          </w:p>
        </w:tc>
        <w:tc>
          <w:tcPr>
            <w:tcW w:w="3401" w:type="pct"/>
            <w:shd w:val="clear" w:color="BEBEBE" w:fill="auto"/>
            <w:vAlign w:val="center"/>
          </w:tcPr>
          <w:p>
            <w:pPr>
              <w:adjustRightInd w:val="0"/>
              <w:snapToGrid w:val="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报价得分=(磋商基准价／最后磋商报价)×</w:t>
            </w:r>
            <w:r>
              <w:rPr>
                <w:rFonts w:hint="eastAsia" w:ascii="宋体" w:hAnsi="宋体" w:eastAsia="宋体" w:cs="宋体"/>
                <w:sz w:val="24"/>
                <w:szCs w:val="24"/>
                <w:highlight w:val="none"/>
                <w:lang w:val="en-US" w:eastAsia="zh-CN"/>
              </w:rPr>
              <w:t>30</w:t>
            </w:r>
          </w:p>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满足磋商文件要求且以各供应商最终报价的最低报价为基准价</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落实政府采购政策进行价格调整的，最后磋商报价以调整后的价格计算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2" w:type="pct"/>
            <w:vMerge w:val="restart"/>
            <w:vAlign w:val="center"/>
          </w:tcPr>
          <w:p>
            <w:pPr>
              <w:adjustRightInd w:val="0"/>
              <w:snapToGrid w:val="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商务部分</w:t>
            </w:r>
          </w:p>
          <w:p>
            <w:pPr>
              <w:adjustRightInd w:val="0"/>
              <w:snapToGrid w:val="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15分</w:t>
            </w:r>
          </w:p>
        </w:tc>
        <w:tc>
          <w:tcPr>
            <w:tcW w:w="745"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磋商响应文件的完整性</w:t>
            </w:r>
          </w:p>
        </w:tc>
        <w:tc>
          <w:tcPr>
            <w:tcW w:w="421"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3401" w:type="pct"/>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磋商响应文件全面响应竞争性磋商文件要求，编制完整、非活页装订，且有详细目录、连续页码、目录与有关材料装订顺序对应清晰、查阅方便得2分。编排杂乱无章、叙述答非所问、资料残缺不全、资料模糊不清、前后不一致等，每处扣0.5分，扣完为止；活页装订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2" w:type="pct"/>
            <w:vMerge w:val="continue"/>
            <w:vAlign w:val="center"/>
          </w:tcPr>
          <w:p>
            <w:pPr>
              <w:adjustRightInd w:val="0"/>
              <w:snapToGrid w:val="0"/>
              <w:rPr>
                <w:rFonts w:hint="eastAsia" w:ascii="宋体" w:hAnsi="宋体" w:eastAsia="宋体" w:cs="宋体"/>
                <w:sz w:val="24"/>
                <w:szCs w:val="24"/>
                <w:highlight w:val="none"/>
              </w:rPr>
            </w:pPr>
          </w:p>
        </w:tc>
        <w:tc>
          <w:tcPr>
            <w:tcW w:w="745" w:type="pct"/>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类似项目成功案例</w:t>
            </w:r>
          </w:p>
        </w:tc>
        <w:tc>
          <w:tcPr>
            <w:tcW w:w="421" w:type="pct"/>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8</w:t>
            </w:r>
          </w:p>
        </w:tc>
        <w:tc>
          <w:tcPr>
            <w:tcW w:w="3401" w:type="pct"/>
            <w:vAlign w:val="center"/>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供应商提供近三年内（201</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月至今）的类似项目成功案例（以中标通知书或采购合同</w:t>
            </w:r>
            <w:r>
              <w:rPr>
                <w:rFonts w:hint="eastAsia" w:ascii="宋体" w:hAnsi="宋体" w:eastAsia="宋体" w:cs="宋体"/>
                <w:sz w:val="24"/>
                <w:szCs w:val="24"/>
                <w:highlight w:val="none"/>
                <w:lang w:eastAsia="zh-CN"/>
              </w:rPr>
              <w:t>复印件加盖公章</w:t>
            </w:r>
            <w:r>
              <w:rPr>
                <w:rFonts w:hint="eastAsia" w:ascii="宋体" w:hAnsi="宋体" w:eastAsia="宋体" w:cs="宋体"/>
                <w:sz w:val="24"/>
                <w:szCs w:val="24"/>
                <w:highlight w:val="none"/>
              </w:rPr>
              <w:t>为准），每提供一个类似项目成功案例得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分，最高得</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2" w:type="pct"/>
            <w:vMerge w:val="continue"/>
            <w:vAlign w:val="center"/>
          </w:tcPr>
          <w:p>
            <w:pPr>
              <w:adjustRightInd w:val="0"/>
              <w:snapToGrid w:val="0"/>
              <w:rPr>
                <w:rFonts w:hint="eastAsia" w:ascii="宋体" w:hAnsi="宋体" w:eastAsia="宋体" w:cs="宋体"/>
                <w:sz w:val="24"/>
                <w:szCs w:val="24"/>
                <w:highlight w:val="none"/>
              </w:rPr>
            </w:pPr>
          </w:p>
        </w:tc>
        <w:tc>
          <w:tcPr>
            <w:tcW w:w="745" w:type="pct"/>
            <w:vAlign w:val="center"/>
          </w:tcPr>
          <w:p>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企业实力</w:t>
            </w:r>
          </w:p>
        </w:tc>
        <w:tc>
          <w:tcPr>
            <w:tcW w:w="421" w:type="pct"/>
            <w:vAlign w:val="center"/>
          </w:tcPr>
          <w:p>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3401" w:type="pct"/>
            <w:vAlign w:val="center"/>
          </w:tcPr>
          <w:p>
            <w:pPr>
              <w:pStyle w:val="53"/>
              <w:spacing w:before="1" w:line="242" w:lineRule="auto"/>
              <w:ind w:right="373"/>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1、供应商通过ISO9001质量管理体系认证的得1分；</w:t>
            </w:r>
          </w:p>
          <w:p>
            <w:pPr>
              <w:pStyle w:val="53"/>
              <w:spacing w:before="2" w:line="242" w:lineRule="auto"/>
              <w:ind w:right="263"/>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2、供应商通过ISO14001环境管理体系认证的得1分；</w:t>
            </w:r>
          </w:p>
          <w:p>
            <w:pPr>
              <w:widowControl/>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（以上证件提供复印件加盖公章）</w:t>
            </w:r>
          </w:p>
          <w:p>
            <w:pPr>
              <w:pStyle w:val="53"/>
              <w:spacing w:before="1" w:line="242" w:lineRule="auto"/>
              <w:ind w:left="115" w:right="152"/>
              <w:rPr>
                <w:rFonts w:hint="eastAsia" w:ascii="宋体" w:hAnsi="宋体" w:eastAsia="宋体" w:cs="宋体"/>
                <w:sz w:val="24"/>
                <w:szCs w:val="24"/>
                <w:highlight w:val="none"/>
              </w:rPr>
            </w:pPr>
            <w:r>
              <w:rPr>
                <w:rFonts w:hint="eastAsia" w:ascii="宋体" w:hAnsi="宋体" w:eastAsia="宋体" w:cs="宋体"/>
                <w:b/>
                <w:bCs/>
                <w:kern w:val="2"/>
                <w:sz w:val="24"/>
                <w:szCs w:val="24"/>
                <w:highlight w:val="none"/>
                <w:lang w:val="zh-CN" w:eastAsia="zh-CN" w:bidi="ar-SA"/>
              </w:rPr>
              <w:t>本项累计得分最高不超过</w:t>
            </w:r>
            <w:r>
              <w:rPr>
                <w:rFonts w:hint="eastAsia" w:cs="宋体"/>
                <w:b/>
                <w:bCs/>
                <w:kern w:val="2"/>
                <w:sz w:val="24"/>
                <w:szCs w:val="24"/>
                <w:highlight w:val="none"/>
                <w:lang w:val="en-US" w:eastAsia="zh-CN" w:bidi="ar-SA"/>
              </w:rPr>
              <w:t>2</w:t>
            </w:r>
            <w:r>
              <w:rPr>
                <w:rFonts w:hint="eastAsia" w:ascii="宋体" w:hAnsi="宋体" w:eastAsia="宋体" w:cs="宋体"/>
                <w:b/>
                <w:bCs/>
                <w:kern w:val="2"/>
                <w:sz w:val="24"/>
                <w:szCs w:val="24"/>
                <w:highlight w:val="none"/>
                <w:lang w:val="zh-CN" w:eastAsia="zh-CN" w:bidi="ar-S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2" w:type="pct"/>
            <w:vMerge w:val="continue"/>
            <w:vAlign w:val="center"/>
          </w:tcPr>
          <w:p>
            <w:pPr>
              <w:adjustRightInd w:val="0"/>
              <w:snapToGrid w:val="0"/>
              <w:rPr>
                <w:rFonts w:hint="eastAsia" w:ascii="宋体" w:hAnsi="宋体" w:eastAsia="宋体" w:cs="宋体"/>
                <w:sz w:val="24"/>
                <w:szCs w:val="24"/>
                <w:highlight w:val="none"/>
              </w:rPr>
            </w:pPr>
          </w:p>
        </w:tc>
        <w:tc>
          <w:tcPr>
            <w:tcW w:w="745" w:type="pct"/>
            <w:vAlign w:val="center"/>
          </w:tcPr>
          <w:p>
            <w:pPr>
              <w:spacing w:line="0" w:lineRule="atLeas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用户评价</w:t>
            </w:r>
          </w:p>
        </w:tc>
        <w:tc>
          <w:tcPr>
            <w:tcW w:w="421" w:type="pct"/>
            <w:vAlign w:val="center"/>
          </w:tcPr>
          <w:p>
            <w:pPr>
              <w:spacing w:line="0" w:lineRule="atLeas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3401" w:type="pct"/>
            <w:vAlign w:val="center"/>
          </w:tcPr>
          <w:p>
            <w:pPr>
              <w:spacing w:line="0" w:lineRule="atLeast"/>
              <w:jc w:val="left"/>
              <w:rPr>
                <w:rFonts w:hint="eastAsia" w:ascii="宋体" w:hAnsi="宋体" w:eastAsia="宋体" w:cs="宋体"/>
                <w:b/>
                <w:bCs/>
                <w:kern w:val="2"/>
                <w:sz w:val="24"/>
                <w:szCs w:val="24"/>
                <w:highlight w:val="none"/>
                <w:lang w:val="zh-CN" w:eastAsia="zh-CN" w:bidi="ar-SA"/>
              </w:rPr>
            </w:pPr>
            <w:r>
              <w:rPr>
                <w:rFonts w:hint="eastAsia" w:ascii="宋体" w:hAnsi="宋体" w:eastAsia="宋体" w:cs="宋体"/>
                <w:color w:val="000000"/>
                <w:kern w:val="0"/>
                <w:sz w:val="24"/>
                <w:szCs w:val="24"/>
                <w:highlight w:val="none"/>
                <w:lang w:val="en-US" w:eastAsia="zh-CN"/>
              </w:rPr>
              <w:t>供应商提供2018年7月份至今服务单位客户满意度评价的每提供一个得1分，最高得3分。（须提供客户满意度评价复印件并加盖公章）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2" w:type="pct"/>
            <w:vMerge w:val="restart"/>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技术部分</w:t>
            </w:r>
          </w:p>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55</w:t>
            </w:r>
            <w:r>
              <w:rPr>
                <w:rFonts w:hint="eastAsia" w:ascii="宋体" w:hAnsi="宋体" w:eastAsia="宋体" w:cs="宋体"/>
                <w:sz w:val="24"/>
                <w:szCs w:val="24"/>
                <w:highlight w:val="none"/>
              </w:rPr>
              <w:t>分</w:t>
            </w:r>
          </w:p>
        </w:tc>
        <w:tc>
          <w:tcPr>
            <w:tcW w:w="745"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技术响应</w:t>
            </w:r>
          </w:p>
        </w:tc>
        <w:tc>
          <w:tcPr>
            <w:tcW w:w="421"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45</w:t>
            </w:r>
          </w:p>
        </w:tc>
        <w:tc>
          <w:tcPr>
            <w:tcW w:w="3401" w:type="pct"/>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1.完全满足用户的要求，并有优于用户的技术参数（供应商需提供产品的彩页样本或检验报告，如供应商技术响应内容与产品彩页样本或检验报告不一致的本项得0分），且能详细描述，综合评价最优的得</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highlight w:val="none"/>
              </w:rPr>
              <w:t>分。</w:t>
            </w:r>
          </w:p>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2.“▲”号标识的条款，为重要技术参数，每一项负偏离，扣</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分；其他参数，每一项负偏离，扣</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分，扣完</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highlight w:val="none"/>
              </w:rPr>
              <w:t>分为止。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2" w:type="pct"/>
            <w:vMerge w:val="continue"/>
            <w:vAlign w:val="center"/>
          </w:tcPr>
          <w:p>
            <w:pPr>
              <w:adjustRightInd w:val="0"/>
              <w:snapToGrid w:val="0"/>
              <w:rPr>
                <w:rFonts w:hint="eastAsia" w:ascii="宋体" w:hAnsi="宋体" w:eastAsia="宋体" w:cs="宋体"/>
                <w:sz w:val="24"/>
                <w:szCs w:val="24"/>
                <w:highlight w:val="none"/>
              </w:rPr>
            </w:pPr>
          </w:p>
        </w:tc>
        <w:tc>
          <w:tcPr>
            <w:tcW w:w="745"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供货</w:t>
            </w:r>
            <w:r>
              <w:rPr>
                <w:rFonts w:hint="eastAsia" w:ascii="宋体" w:hAnsi="宋体" w:eastAsia="宋体" w:cs="宋体"/>
                <w:sz w:val="24"/>
                <w:szCs w:val="24"/>
                <w:highlight w:val="none"/>
              </w:rPr>
              <w:t>方案</w:t>
            </w:r>
          </w:p>
        </w:tc>
        <w:tc>
          <w:tcPr>
            <w:tcW w:w="421"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3401" w:type="pct"/>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eastAsia="zh-CN"/>
              </w:rPr>
              <w:t>供应商</w:t>
            </w:r>
            <w:r>
              <w:rPr>
                <w:rFonts w:hint="eastAsia" w:ascii="宋体" w:hAnsi="宋体" w:eastAsia="宋体" w:cs="宋体"/>
                <w:bCs/>
                <w:sz w:val="24"/>
                <w:szCs w:val="24"/>
                <w:highlight w:val="none"/>
              </w:rPr>
              <w:t>根据本项目的特点和要求，制定出本项目的供货计划及实施方案，包括但不限于以下内容：人员配备、资料收集、信息反馈、沟通协调、完成时限等，须设定各时间段完成的工作内容。供货计划方案的完整性、可行性、合理性进行评分：</w:t>
            </w:r>
            <w:r>
              <w:rPr>
                <w:rFonts w:hint="eastAsia" w:ascii="宋体" w:hAnsi="宋体" w:eastAsia="宋体" w:cs="宋体"/>
                <w:bCs/>
                <w:sz w:val="24"/>
                <w:szCs w:val="24"/>
                <w:highlight w:val="none"/>
                <w:lang w:val="en-US" w:eastAsia="zh-CN"/>
              </w:rPr>
              <w:t>方案</w:t>
            </w:r>
            <w:r>
              <w:rPr>
                <w:rFonts w:hint="eastAsia" w:ascii="宋体" w:hAnsi="宋体" w:eastAsia="宋体" w:cs="宋体"/>
                <w:bCs/>
                <w:sz w:val="24"/>
                <w:szCs w:val="24"/>
                <w:highlight w:val="none"/>
              </w:rPr>
              <w:t>针对性</w:t>
            </w:r>
            <w:r>
              <w:rPr>
                <w:rFonts w:hint="eastAsia" w:ascii="宋体" w:hAnsi="宋体" w:eastAsia="宋体" w:cs="宋体"/>
                <w:bCs/>
                <w:sz w:val="24"/>
                <w:szCs w:val="24"/>
                <w:highlight w:val="none"/>
                <w:lang w:eastAsia="zh-CN"/>
              </w:rPr>
              <w:t>强</w:t>
            </w:r>
            <w:r>
              <w:rPr>
                <w:rFonts w:hint="eastAsia" w:ascii="宋体" w:hAnsi="宋体" w:eastAsia="宋体" w:cs="宋体"/>
                <w:bCs/>
                <w:sz w:val="24"/>
                <w:szCs w:val="24"/>
                <w:highlight w:val="none"/>
              </w:rPr>
              <w:t>、可行性强</w:t>
            </w:r>
            <w:r>
              <w:rPr>
                <w:rFonts w:hint="eastAsia" w:ascii="宋体" w:hAnsi="宋体" w:eastAsia="宋体" w:cs="宋体"/>
                <w:bCs/>
                <w:sz w:val="24"/>
                <w:szCs w:val="24"/>
                <w:highlight w:val="none"/>
                <w:lang w:val="en-US" w:eastAsia="zh-CN"/>
              </w:rPr>
              <w:t>得4-5分；方案</w:t>
            </w:r>
            <w:r>
              <w:rPr>
                <w:rFonts w:hint="eastAsia" w:ascii="宋体" w:hAnsi="宋体" w:eastAsia="宋体" w:cs="宋体"/>
                <w:bCs/>
                <w:sz w:val="24"/>
                <w:szCs w:val="24"/>
                <w:highlight w:val="none"/>
              </w:rPr>
              <w:t>针对性</w:t>
            </w:r>
            <w:r>
              <w:rPr>
                <w:rFonts w:hint="eastAsia" w:ascii="宋体" w:hAnsi="宋体" w:eastAsia="宋体" w:cs="宋体"/>
                <w:bCs/>
                <w:sz w:val="24"/>
                <w:szCs w:val="24"/>
                <w:highlight w:val="none"/>
                <w:lang w:eastAsia="zh-CN"/>
              </w:rPr>
              <w:t>强</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val="en-US" w:eastAsia="zh-CN"/>
              </w:rPr>
              <w:t>具有一定可行性得2-3分；方案基本满足要求得0-1分。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2" w:type="pct"/>
            <w:vMerge w:val="continue"/>
            <w:vAlign w:val="center"/>
          </w:tcPr>
          <w:p>
            <w:pPr>
              <w:adjustRightInd w:val="0"/>
              <w:snapToGrid w:val="0"/>
              <w:jc w:val="center"/>
              <w:rPr>
                <w:rFonts w:hint="eastAsia" w:ascii="宋体" w:hAnsi="宋体" w:eastAsia="宋体" w:cs="宋体"/>
                <w:sz w:val="24"/>
                <w:szCs w:val="24"/>
                <w:highlight w:val="none"/>
              </w:rPr>
            </w:pPr>
          </w:p>
        </w:tc>
        <w:tc>
          <w:tcPr>
            <w:tcW w:w="745" w:type="pct"/>
            <w:vAlign w:val="center"/>
          </w:tcPr>
          <w:p>
            <w:pPr>
              <w:jc w:val="center"/>
              <w:rPr>
                <w:rFonts w:hint="eastAsia" w:ascii="宋体" w:hAnsi="宋体" w:eastAsia="宋体" w:cs="宋体"/>
                <w:color w:val="FF0000"/>
                <w:sz w:val="24"/>
                <w:szCs w:val="24"/>
                <w:highlight w:val="none"/>
              </w:rPr>
            </w:pPr>
            <w:r>
              <w:rPr>
                <w:rFonts w:hint="eastAsia" w:ascii="宋体" w:hAnsi="宋体" w:eastAsia="宋体" w:cs="宋体"/>
                <w:sz w:val="24"/>
                <w:szCs w:val="24"/>
                <w:highlight w:val="none"/>
              </w:rPr>
              <w:t>售后服务方案</w:t>
            </w:r>
          </w:p>
        </w:tc>
        <w:tc>
          <w:tcPr>
            <w:tcW w:w="421" w:type="pct"/>
            <w:vAlign w:val="center"/>
          </w:tcPr>
          <w:p>
            <w:pPr>
              <w:jc w:val="center"/>
              <w:rPr>
                <w:rFonts w:hint="eastAsia" w:ascii="宋体" w:hAnsi="宋体" w:eastAsia="宋体" w:cs="宋体"/>
                <w:color w:val="FF0000"/>
                <w:sz w:val="24"/>
                <w:szCs w:val="24"/>
                <w:highlight w:val="none"/>
              </w:rPr>
            </w:pPr>
            <w:r>
              <w:rPr>
                <w:rFonts w:hint="eastAsia" w:ascii="宋体" w:hAnsi="宋体" w:eastAsia="宋体" w:cs="宋体"/>
                <w:sz w:val="24"/>
                <w:szCs w:val="24"/>
                <w:highlight w:val="none"/>
                <w:lang w:val="en-US" w:eastAsia="zh-CN"/>
              </w:rPr>
              <w:t>5</w:t>
            </w:r>
          </w:p>
        </w:tc>
        <w:tc>
          <w:tcPr>
            <w:tcW w:w="3401" w:type="pct"/>
            <w:vAlign w:val="center"/>
          </w:tcPr>
          <w:p>
            <w:pPr>
              <w:rPr>
                <w:rFonts w:hint="eastAsia" w:ascii="宋体" w:hAnsi="宋体" w:eastAsia="宋体" w:cs="宋体"/>
                <w:color w:val="FF0000"/>
                <w:sz w:val="24"/>
                <w:szCs w:val="24"/>
                <w:highlight w:val="none"/>
              </w:rPr>
            </w:pPr>
            <w:r>
              <w:rPr>
                <w:rFonts w:hint="eastAsia" w:ascii="宋体" w:hAnsi="宋体" w:eastAsia="宋体" w:cs="宋体"/>
                <w:color w:val="000000"/>
                <w:kern w:val="0"/>
                <w:sz w:val="24"/>
                <w:szCs w:val="24"/>
                <w:highlight w:val="none"/>
                <w:lang w:eastAsia="zh-CN"/>
              </w:rPr>
              <w:t>供应商</w:t>
            </w:r>
            <w:r>
              <w:rPr>
                <w:rFonts w:hint="eastAsia" w:ascii="宋体" w:hAnsi="宋体" w:eastAsia="宋体" w:cs="宋体"/>
                <w:color w:val="000000"/>
                <w:kern w:val="0"/>
                <w:sz w:val="24"/>
                <w:szCs w:val="24"/>
                <w:highlight w:val="none"/>
              </w:rPr>
              <w:t>有明确的售后服务措施，且具体可行</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具有一定优势，得</w:t>
            </w:r>
            <w:r>
              <w:rPr>
                <w:rFonts w:hint="eastAsia" w:ascii="宋体" w:hAnsi="宋体" w:eastAsia="宋体" w:cs="宋体"/>
                <w:color w:val="000000"/>
                <w:kern w:val="0"/>
                <w:sz w:val="24"/>
                <w:szCs w:val="24"/>
                <w:highlight w:val="none"/>
                <w:lang w:val="en-US" w:eastAsia="zh-CN"/>
              </w:rPr>
              <w:t>4-5</w:t>
            </w:r>
            <w:r>
              <w:rPr>
                <w:rFonts w:hint="eastAsia" w:ascii="宋体" w:hAnsi="宋体" w:eastAsia="宋体" w:cs="宋体"/>
                <w:color w:val="000000"/>
                <w:kern w:val="0"/>
                <w:sz w:val="24"/>
                <w:szCs w:val="24"/>
                <w:highlight w:val="none"/>
              </w:rPr>
              <w:t>分；有较明确的售后服务措施，且基本可行，得</w:t>
            </w:r>
            <w:r>
              <w:rPr>
                <w:rFonts w:hint="eastAsia" w:ascii="宋体" w:hAnsi="宋体" w:eastAsia="宋体" w:cs="宋体"/>
                <w:color w:val="000000"/>
                <w:kern w:val="0"/>
                <w:sz w:val="24"/>
                <w:szCs w:val="24"/>
                <w:highlight w:val="none"/>
                <w:lang w:val="en-US" w:eastAsia="zh-CN"/>
              </w:rPr>
              <w:t>2-3</w:t>
            </w:r>
            <w:r>
              <w:rPr>
                <w:rFonts w:hint="eastAsia" w:ascii="宋体" w:hAnsi="宋体" w:eastAsia="宋体" w:cs="宋体"/>
                <w:color w:val="000000"/>
                <w:kern w:val="0"/>
                <w:sz w:val="24"/>
                <w:szCs w:val="24"/>
                <w:highlight w:val="none"/>
              </w:rPr>
              <w:t>分；没有明确的售后服务措施或者未提供售后服务措施，得0</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tc>
      </w:tr>
    </w:tbl>
    <w:p>
      <w:pPr>
        <w:rPr>
          <w:rFonts w:hint="eastAsia"/>
          <w:highlight w:val="none"/>
          <w:lang w:eastAsia="zh-CN"/>
        </w:rPr>
      </w:pPr>
      <w:r>
        <w:rPr>
          <w:rFonts w:hint="eastAsia"/>
          <w:highlight w:val="none"/>
          <w:lang w:eastAsia="zh-CN"/>
        </w:rPr>
        <w:br w:type="page"/>
      </w:r>
    </w:p>
    <w:p>
      <w:pPr>
        <w:pStyle w:val="3"/>
        <w:jc w:val="center"/>
        <w:rPr>
          <w:color w:val="000000" w:themeColor="text1"/>
          <w:sz w:val="36"/>
          <w:szCs w:val="36"/>
          <w:highlight w:val="none"/>
          <w14:textFill>
            <w14:solidFill>
              <w14:schemeClr w14:val="tx1"/>
            </w14:solidFill>
          </w14:textFill>
        </w:rPr>
      </w:pPr>
      <w:bookmarkStart w:id="120" w:name="_Toc65158809"/>
      <w:r>
        <w:rPr>
          <w:rFonts w:hint="eastAsia"/>
          <w:color w:val="000000" w:themeColor="text1"/>
          <w:sz w:val="36"/>
          <w:szCs w:val="36"/>
          <w:highlight w:val="none"/>
          <w14:textFill>
            <w14:solidFill>
              <w14:schemeClr w14:val="tx1"/>
            </w14:solidFill>
          </w14:textFill>
        </w:rPr>
        <w:t>合同书格式</w:t>
      </w:r>
      <w:bookmarkEnd w:id="119"/>
      <w:bookmarkEnd w:id="120"/>
    </w:p>
    <w:p>
      <w:pPr>
        <w:adjustRightInd w:val="0"/>
        <w:snapToGrid w:val="0"/>
        <w:spacing w:line="360" w:lineRule="auto"/>
        <w:jc w:val="center"/>
        <w:rPr>
          <w:rFonts w:ascii="黑体" w:hAnsi="黑体" w:eastAsia="黑体"/>
          <w:color w:val="000000" w:themeColor="text1"/>
          <w:kern w:val="0"/>
          <w:sz w:val="36"/>
          <w:szCs w:val="36"/>
          <w:highlight w:val="none"/>
          <w14:textFill>
            <w14:solidFill>
              <w14:schemeClr w14:val="tx1"/>
            </w14:solidFill>
          </w14:textFill>
        </w:rPr>
      </w:pPr>
      <w:bookmarkStart w:id="121" w:name="_Hlk64712833"/>
      <w:r>
        <w:rPr>
          <w:rFonts w:hint="eastAsia" w:ascii="黑体" w:hAnsi="黑体" w:eastAsia="黑体"/>
          <w:color w:val="000000" w:themeColor="text1"/>
          <w:kern w:val="0"/>
          <w:sz w:val="36"/>
          <w:szCs w:val="36"/>
          <w:highlight w:val="none"/>
          <w:u w:val="single"/>
          <w14:textFill>
            <w14:solidFill>
              <w14:schemeClr w14:val="tx1"/>
            </w14:solidFill>
          </w14:textFill>
        </w:rPr>
        <w:t>（项目名称）</w:t>
      </w:r>
      <w:r>
        <w:rPr>
          <w:rFonts w:hint="eastAsia" w:ascii="黑体" w:hAnsi="黑体" w:eastAsia="黑体"/>
          <w:color w:val="000000" w:themeColor="text1"/>
          <w:kern w:val="0"/>
          <w:sz w:val="36"/>
          <w:szCs w:val="36"/>
          <w:highlight w:val="none"/>
          <w14:textFill>
            <w14:solidFill>
              <w14:schemeClr w14:val="tx1"/>
            </w14:solidFill>
          </w14:textFill>
        </w:rPr>
        <w:t>项目服务购销</w:t>
      </w:r>
      <w:r>
        <w:rPr>
          <w:rFonts w:ascii="黑体" w:hAnsi="黑体" w:eastAsia="黑体"/>
          <w:color w:val="000000" w:themeColor="text1"/>
          <w:kern w:val="0"/>
          <w:sz w:val="36"/>
          <w:szCs w:val="36"/>
          <w:highlight w:val="none"/>
          <w14:textFill>
            <w14:solidFill>
              <w14:schemeClr w14:val="tx1"/>
            </w14:solidFill>
          </w14:textFill>
        </w:rPr>
        <w:t>合同</w:t>
      </w:r>
    </w:p>
    <w:p>
      <w:pPr>
        <w:widowControl/>
        <w:autoSpaceDE w:val="0"/>
        <w:autoSpaceDN w:val="0"/>
        <w:adjustRightInd w:val="0"/>
        <w:snapToGrid w:val="0"/>
        <w:spacing w:line="360" w:lineRule="auto"/>
        <w:ind w:firstLine="6660" w:firstLineChars="2764"/>
        <w:jc w:val="left"/>
        <w:textAlignment w:val="bottom"/>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合同编号：</w:t>
      </w:r>
    </w:p>
    <w:p>
      <w:pPr>
        <w:widowControl/>
        <w:autoSpaceDE w:val="0"/>
        <w:autoSpaceDN w:val="0"/>
        <w:adjustRightInd w:val="0"/>
        <w:snapToGrid w:val="0"/>
        <w:spacing w:line="360" w:lineRule="auto"/>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甲方：湖北科技学院</w:t>
      </w:r>
    </w:p>
    <w:p>
      <w:pPr>
        <w:widowControl/>
        <w:autoSpaceDE w:val="0"/>
        <w:autoSpaceDN w:val="0"/>
        <w:adjustRightInd w:val="0"/>
        <w:snapToGrid w:val="0"/>
        <w:spacing w:line="360" w:lineRule="auto"/>
        <w:textAlignment w:val="bottom"/>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乙方：</w:t>
      </w:r>
    </w:p>
    <w:p>
      <w:pPr>
        <w:spacing w:line="36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签订地点：湖北省咸宁市咸宁大道88号</w:t>
      </w:r>
    </w:p>
    <w:p>
      <w:pPr>
        <w:spacing w:line="360" w:lineRule="auto"/>
        <w:ind w:firstLine="480" w:firstLineChars="200"/>
        <w:rPr>
          <w:rFonts w:ascii="宋体" w:hAnsi="宋体" w:eastAsia="宋体"/>
          <w:color w:val="000000" w:themeColor="text1"/>
          <w:sz w:val="24"/>
          <w:szCs w:val="24"/>
          <w:highlight w:val="none"/>
          <w14:textFill>
            <w14:solidFill>
              <w14:schemeClr w14:val="tx1"/>
            </w14:solidFill>
          </w14:textFill>
        </w:rPr>
      </w:pPr>
      <w:r>
        <w:rPr>
          <w:rFonts w:ascii="宋体" w:hAnsi="宋体" w:eastAsia="宋体"/>
          <w:color w:val="000000" w:themeColor="text1"/>
          <w:sz w:val="24"/>
          <w:szCs w:val="24"/>
          <w:highlight w:val="none"/>
          <w14:textFill>
            <w14:solidFill>
              <w14:schemeClr w14:val="tx1"/>
            </w14:solidFill>
          </w14:textFill>
        </w:rPr>
        <w:t>根据《中华人民共和国合同法》</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《中华人民共和国政府采购法》及</w:t>
      </w:r>
      <w:r>
        <w:rPr>
          <w:rFonts w:hint="eastAsia" w:ascii="宋体" w:hAnsi="宋体" w:eastAsia="宋体"/>
          <w:color w:val="000000" w:themeColor="text1"/>
          <w:sz w:val="24"/>
          <w:szCs w:val="24"/>
          <w:highlight w:val="none"/>
          <w14:textFill>
            <w14:solidFill>
              <w14:schemeClr w14:val="tx1"/>
            </w14:solidFill>
          </w14:textFill>
        </w:rPr>
        <w:t>其他</w:t>
      </w:r>
      <w:r>
        <w:rPr>
          <w:rFonts w:ascii="宋体" w:hAnsi="宋体" w:eastAsia="宋体"/>
          <w:color w:val="000000" w:themeColor="text1"/>
          <w:sz w:val="24"/>
          <w:szCs w:val="24"/>
          <w:highlight w:val="none"/>
          <w14:textFill>
            <w14:solidFill>
              <w14:schemeClr w14:val="tx1"/>
            </w14:solidFill>
          </w14:textFill>
        </w:rPr>
        <w:t>相关规定，</w:t>
      </w:r>
      <w:r>
        <w:rPr>
          <w:rFonts w:hint="eastAsia" w:ascii="宋体" w:hAnsi="宋体" w:eastAsia="宋体"/>
          <w:color w:val="000000" w:themeColor="text1"/>
          <w:sz w:val="24"/>
          <w:szCs w:val="24"/>
          <w:highlight w:val="none"/>
          <w14:textFill>
            <w14:solidFill>
              <w14:schemeClr w14:val="tx1"/>
            </w14:solidFill>
          </w14:textFill>
        </w:rPr>
        <w:t>结合项目</w:t>
      </w:r>
      <w:r>
        <w:rPr>
          <w:rFonts w:hint="eastAsia" w:ascii="宋体" w:hAnsi="宋体" w:eastAsia="宋体" w:cs="Times New Roman"/>
          <w:color w:val="000000"/>
          <w:kern w:val="0"/>
          <w:sz w:val="24"/>
          <w:highlight w:val="none"/>
        </w:rPr>
        <w:t>竞争性磋商文件、竞争性磋商响应文件、磋商记录、澄清修正文件、成交通知书、成交供应商承诺书等采购文书</w:t>
      </w:r>
      <w:r>
        <w:rPr>
          <w:rFonts w:hint="eastAsia" w:ascii="宋体" w:hAnsi="宋体" w:eastAsia="宋体"/>
          <w:color w:val="000000" w:themeColor="text1"/>
          <w:sz w:val="24"/>
          <w:szCs w:val="24"/>
          <w:highlight w:val="none"/>
          <w14:textFill>
            <w14:solidFill>
              <w14:schemeClr w14:val="tx1"/>
            </w14:solidFill>
          </w14:textFill>
        </w:rPr>
        <w:t>相关要求和内容，制定本</w:t>
      </w:r>
      <w:r>
        <w:rPr>
          <w:rFonts w:ascii="宋体" w:hAnsi="宋体" w:eastAsia="宋体"/>
          <w:color w:val="000000" w:themeColor="text1"/>
          <w:sz w:val="24"/>
          <w:szCs w:val="24"/>
          <w:highlight w:val="none"/>
          <w14:textFill>
            <w14:solidFill>
              <w14:schemeClr w14:val="tx1"/>
            </w14:solidFill>
          </w14:textFill>
        </w:rPr>
        <w:t>合同</w:t>
      </w:r>
      <w:r>
        <w:rPr>
          <w:rFonts w:hint="eastAsia" w:ascii="宋体" w:hAnsi="宋体" w:eastAsia="宋体"/>
          <w:color w:val="000000" w:themeColor="text1"/>
          <w:sz w:val="24"/>
          <w:szCs w:val="24"/>
          <w:highlight w:val="none"/>
          <w14:textFill>
            <w14:solidFill>
              <w14:schemeClr w14:val="tx1"/>
            </w14:solidFill>
          </w14:textFill>
        </w:rPr>
        <w:t>，双方共同遵守</w:t>
      </w:r>
      <w:r>
        <w:rPr>
          <w:rFonts w:ascii="宋体" w:hAnsi="宋体" w:eastAsia="宋体"/>
          <w:color w:val="000000" w:themeColor="text1"/>
          <w:sz w:val="24"/>
          <w:szCs w:val="24"/>
          <w:highlight w:val="none"/>
          <w14:textFill>
            <w14:solidFill>
              <w14:schemeClr w14:val="tx1"/>
            </w14:solidFill>
          </w14:textFill>
        </w:rPr>
        <w:t>。</w:t>
      </w:r>
    </w:p>
    <w:p>
      <w:pPr>
        <w:pStyle w:val="30"/>
        <w:adjustRightInd w:val="0"/>
        <w:snapToGrid w:val="0"/>
        <w:spacing w:before="120" w:beforeLines="50" w:beforeAutospacing="0" w:after="0" w:afterAutospacing="0" w:line="360" w:lineRule="auto"/>
        <w:rPr>
          <w:rFonts w:hint="default" w:cs="Arial"/>
          <w:b/>
          <w:color w:val="000000" w:themeColor="text1"/>
          <w:highlight w:val="none"/>
          <w14:textFill>
            <w14:solidFill>
              <w14:schemeClr w14:val="tx1"/>
            </w14:solidFill>
          </w14:textFill>
        </w:rPr>
      </w:pPr>
      <w:r>
        <w:rPr>
          <w:rFonts w:cs="Arial"/>
          <w:b/>
          <w:color w:val="000000" w:themeColor="text1"/>
          <w:highlight w:val="none"/>
          <w14:textFill>
            <w14:solidFill>
              <w14:schemeClr w14:val="tx1"/>
            </w14:solidFill>
          </w14:textFill>
        </w:rPr>
        <w:t>一、标的、数量、价款</w:t>
      </w:r>
    </w:p>
    <w:tbl>
      <w:tblPr>
        <w:tblStyle w:val="3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08" w:type="dxa"/>
          <w:bottom w:w="15" w:type="dxa"/>
          <w:right w:w="108" w:type="dxa"/>
        </w:tblCellMar>
      </w:tblPr>
      <w:tblGrid>
        <w:gridCol w:w="773"/>
        <w:gridCol w:w="1306"/>
        <w:gridCol w:w="2372"/>
        <w:gridCol w:w="773"/>
        <w:gridCol w:w="773"/>
        <w:gridCol w:w="773"/>
        <w:gridCol w:w="1574"/>
        <w:gridCol w:w="7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序号</w:t>
            </w:r>
          </w:p>
        </w:tc>
        <w:tc>
          <w:tcPr>
            <w:tcW w:w="716"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服务名称</w:t>
            </w:r>
          </w:p>
        </w:tc>
        <w:tc>
          <w:tcPr>
            <w:tcW w:w="1301"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具体服务响应内容</w:t>
            </w:r>
          </w:p>
        </w:tc>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数量</w:t>
            </w:r>
          </w:p>
        </w:tc>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单位</w:t>
            </w:r>
          </w:p>
        </w:tc>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单价</w:t>
            </w:r>
          </w:p>
        </w:tc>
        <w:tc>
          <w:tcPr>
            <w:tcW w:w="863"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金额（元）</w:t>
            </w:r>
          </w:p>
        </w:tc>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1</w:t>
            </w:r>
          </w:p>
        </w:tc>
        <w:tc>
          <w:tcPr>
            <w:tcW w:w="716"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c>
          <w:tcPr>
            <w:tcW w:w="863"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2</w:t>
            </w:r>
          </w:p>
        </w:tc>
        <w:tc>
          <w:tcPr>
            <w:tcW w:w="716"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c>
          <w:tcPr>
            <w:tcW w:w="863"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3</w:t>
            </w:r>
          </w:p>
        </w:tc>
        <w:tc>
          <w:tcPr>
            <w:tcW w:w="716"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863"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4</w:t>
            </w:r>
          </w:p>
        </w:tc>
        <w:tc>
          <w:tcPr>
            <w:tcW w:w="716"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863"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5</w:t>
            </w:r>
          </w:p>
        </w:tc>
        <w:tc>
          <w:tcPr>
            <w:tcW w:w="716"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863"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6</w:t>
            </w:r>
          </w:p>
        </w:tc>
        <w:tc>
          <w:tcPr>
            <w:tcW w:w="716"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863"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5000" w:type="pct"/>
            <w:gridSpan w:val="8"/>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合计：人民币大写</w:t>
            </w:r>
            <w:r>
              <w:rPr>
                <w:rFonts w:hint="eastAsia" w:ascii="宋体" w:hAnsi="宋体"/>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万</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仟</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佰</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拾</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元整</w:t>
            </w:r>
            <w:r>
              <w:rPr>
                <w:rFonts w:hint="eastAsia" w:ascii="宋体" w:hAnsi="宋体" w:eastAsia="宋体" w:cs="宋体"/>
                <w:b/>
                <w:bCs/>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14:textFill>
                  <w14:solidFill>
                    <w14:schemeClr w14:val="tx1"/>
                  </w14:solidFill>
                </w14:textFill>
              </w:rPr>
              <w:t>）</w:t>
            </w:r>
          </w:p>
        </w:tc>
      </w:tr>
    </w:tbl>
    <w:p>
      <w:pPr>
        <w:pStyle w:val="30"/>
        <w:adjustRightInd w:val="0"/>
        <w:snapToGrid w:val="0"/>
        <w:spacing w:before="120" w:beforeLines="50" w:beforeAutospacing="0" w:after="0" w:afterAutospacing="0" w:line="360" w:lineRule="auto"/>
        <w:rPr>
          <w:rFonts w:hint="default" w:cs="Arial"/>
          <w:color w:val="000000" w:themeColor="text1"/>
          <w:highlight w:val="none"/>
          <w14:textFill>
            <w14:solidFill>
              <w14:schemeClr w14:val="tx1"/>
            </w14:solidFill>
          </w14:textFill>
        </w:rPr>
      </w:pPr>
      <w:r>
        <w:rPr>
          <w:rFonts w:cs="Arial"/>
          <w:color w:val="000000" w:themeColor="text1"/>
          <w:highlight w:val="none"/>
          <w14:textFill>
            <w14:solidFill>
              <w14:schemeClr w14:val="tx1"/>
            </w14:solidFill>
          </w14:textFill>
        </w:rPr>
        <w:t>说明：合同价格包含服务采购、税费、商检费及验收、培训、技术服务（包括技术资料、图纸的提供）、质保期保障等的全部费用。</w:t>
      </w:r>
    </w:p>
    <w:p>
      <w:pPr>
        <w:pStyle w:val="92"/>
        <w:tabs>
          <w:tab w:val="left" w:pos="360"/>
        </w:tabs>
        <w:snapToGrid w:val="0"/>
        <w:spacing w:before="120" w:beforeLines="50" w:line="360" w:lineRule="auto"/>
        <w:rPr>
          <w:rFonts w:hAnsi="宋体" w:cs="Arial"/>
          <w:b/>
          <w:color w:val="000000" w:themeColor="text1"/>
          <w:sz w:val="24"/>
          <w:szCs w:val="24"/>
          <w:highlight w:val="none"/>
          <w14:textFill>
            <w14:solidFill>
              <w14:schemeClr w14:val="tx1"/>
            </w14:solidFill>
          </w14:textFill>
        </w:rPr>
      </w:pPr>
      <w:r>
        <w:rPr>
          <w:rFonts w:hint="eastAsia" w:hAnsi="宋体" w:cs="Arial"/>
          <w:b/>
          <w:color w:val="000000" w:themeColor="text1"/>
          <w:sz w:val="24"/>
          <w:szCs w:val="24"/>
          <w:highlight w:val="none"/>
          <w14:textFill>
            <w14:solidFill>
              <w14:schemeClr w14:val="tx1"/>
            </w14:solidFill>
          </w14:textFill>
        </w:rPr>
        <w:t>二、服务与验</w:t>
      </w:r>
      <w:r>
        <w:rPr>
          <w:rFonts w:hAnsi="宋体" w:cs="Arial"/>
          <w:b/>
          <w:color w:val="000000" w:themeColor="text1"/>
          <w:sz w:val="24"/>
          <w:szCs w:val="24"/>
          <w:highlight w:val="none"/>
          <w14:textFill>
            <w14:solidFill>
              <w14:schemeClr w14:val="tx1"/>
            </w14:solidFill>
          </w14:textFill>
        </w:rPr>
        <w:t>收</w:t>
      </w:r>
    </w:p>
    <w:p>
      <w:pPr>
        <w:pStyle w:val="30"/>
        <w:adjustRightInd w:val="0"/>
        <w:snapToGrid w:val="0"/>
        <w:spacing w:before="0" w:beforeAutospacing="0" w:after="0" w:afterAutospacing="0" w:line="360" w:lineRule="auto"/>
        <w:ind w:firstLine="480" w:firstLineChars="200"/>
        <w:jc w:val="both"/>
        <w:rPr>
          <w:rFonts w:hint="default" w:cs="微软雅黑"/>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乙方负责在合同签订后</w:t>
      </w:r>
      <w:r>
        <w:rPr>
          <w:color w:val="000000" w:themeColor="text1"/>
          <w:highlight w:val="none"/>
          <w:u w:val="single"/>
          <w14:textFill>
            <w14:solidFill>
              <w14:schemeClr w14:val="tx1"/>
            </w14:solidFill>
          </w14:textFill>
        </w:rPr>
        <w:t>　　</w:t>
      </w:r>
      <w:r>
        <w:rPr>
          <w:color w:val="000000" w:themeColor="text1"/>
          <w:highlight w:val="none"/>
          <w14:textFill>
            <w14:solidFill>
              <w14:schemeClr w14:val="tx1"/>
            </w14:solidFill>
          </w14:textFill>
        </w:rPr>
        <w:t>个日历日内将项目内符合合同要求的所有服务提供到位。</w:t>
      </w:r>
    </w:p>
    <w:p>
      <w:pPr>
        <w:pStyle w:val="30"/>
        <w:adjustRightInd w:val="0"/>
        <w:snapToGrid w:val="0"/>
        <w:spacing w:before="0" w:beforeAutospacing="0" w:after="0" w:afterAutospacing="0" w:line="360" w:lineRule="auto"/>
        <w:ind w:firstLine="480" w:firstLineChars="200"/>
        <w:rPr>
          <w:rFonts w:hint="default" w:cs="微软雅黑"/>
          <w:color w:val="000000" w:themeColor="text1"/>
          <w:highlight w:val="none"/>
          <w14:textFill>
            <w14:solidFill>
              <w14:schemeClr w14:val="tx1"/>
            </w14:solidFill>
          </w14:textFill>
        </w:rPr>
      </w:pPr>
      <w:r>
        <w:rPr>
          <w:rFonts w:cs="微软雅黑"/>
          <w:color w:val="000000" w:themeColor="text1"/>
          <w:highlight w:val="none"/>
          <w14:textFill>
            <w14:solidFill>
              <w14:schemeClr w14:val="tx1"/>
            </w14:solidFill>
          </w14:textFill>
        </w:rPr>
        <w:t>服务完成后，甲方应在15天内按相关质量标准和合同要求组织验收。甲方在验收中，如果发现服务不合规定，应在30天内向乙方提出书面异议，乙方在接到甲方书面异议后，应在15天内（另有规定或当事人另行商定期限者除外）负责处理，否则，即视为默认甲方提出的异议和处理意见。</w:t>
      </w:r>
    </w:p>
    <w:p>
      <w:pPr>
        <w:pStyle w:val="30"/>
        <w:adjustRightInd w:val="0"/>
        <w:snapToGrid w:val="0"/>
        <w:spacing w:before="120" w:beforeLines="50" w:beforeAutospacing="0" w:after="0" w:afterAutospacing="0" w:line="360" w:lineRule="auto"/>
        <w:rPr>
          <w:rFonts w:hint="default" w:cs="Arial"/>
          <w:b/>
          <w:color w:val="000000" w:themeColor="text1"/>
          <w:highlight w:val="none"/>
          <w14:textFill>
            <w14:solidFill>
              <w14:schemeClr w14:val="tx1"/>
            </w14:solidFill>
          </w14:textFill>
        </w:rPr>
      </w:pPr>
      <w:r>
        <w:rPr>
          <w:rFonts w:cs="Arial"/>
          <w:color w:val="000000" w:themeColor="text1"/>
          <w:highlight w:val="none"/>
          <w14:textFill>
            <w14:solidFill>
              <w14:schemeClr w14:val="tx1"/>
            </w14:solidFill>
          </w14:textFill>
        </w:rPr>
        <w:t>三、</w:t>
      </w:r>
      <w:r>
        <w:rPr>
          <w:rFonts w:cs="Arial"/>
          <w:b/>
          <w:color w:val="000000" w:themeColor="text1"/>
          <w:highlight w:val="none"/>
          <w14:textFill>
            <w14:solidFill>
              <w14:schemeClr w14:val="tx1"/>
            </w14:solidFill>
          </w14:textFill>
        </w:rPr>
        <w:t>付款</w:t>
      </w:r>
    </w:p>
    <w:p>
      <w:pPr>
        <w:adjustRightInd w:val="0"/>
        <w:snapToGrid w:val="0"/>
        <w:spacing w:line="360" w:lineRule="auto"/>
        <w:ind w:firstLine="480" w:firstLineChars="200"/>
        <w:rPr>
          <w:rFonts w:ascii="宋体" w:hAnsi="宋体" w:eastAsia="宋体" w:cs="Arial"/>
          <w:color w:val="000000" w:themeColor="text1"/>
          <w:kern w:val="0"/>
          <w:sz w:val="24"/>
          <w:szCs w:val="24"/>
          <w:highlight w:val="none"/>
          <w14:textFill>
            <w14:solidFill>
              <w14:schemeClr w14:val="tx1"/>
            </w14:solidFill>
          </w14:textFill>
        </w:rPr>
      </w:pPr>
      <w:r>
        <w:rPr>
          <w:rFonts w:hint="eastAsia" w:ascii="宋体" w:hAnsi="宋体" w:eastAsia="宋体" w:cs="Arial"/>
          <w:color w:val="000000" w:themeColor="text1"/>
          <w:kern w:val="0"/>
          <w:sz w:val="24"/>
          <w:szCs w:val="24"/>
          <w:highlight w:val="none"/>
          <w14:textFill>
            <w14:solidFill>
              <w14:schemeClr w14:val="tx1"/>
            </w14:solidFill>
          </w14:textFill>
        </w:rPr>
        <w:t>乙方在接到本项目成交通知书之前，须向甲方支付本项目合同金额的</w:t>
      </w:r>
      <w:r>
        <w:rPr>
          <w:rFonts w:hint="eastAsia" w:ascii="宋体" w:hAnsi="宋体" w:eastAsia="宋体" w:cs="Arial"/>
          <w:color w:val="000000" w:themeColor="text1"/>
          <w:kern w:val="0"/>
          <w:sz w:val="24"/>
          <w:szCs w:val="24"/>
          <w:highlight w:val="none"/>
          <w:u w:val="single"/>
          <w14:textFill>
            <w14:solidFill>
              <w14:schemeClr w14:val="tx1"/>
            </w14:solidFill>
          </w14:textFill>
        </w:rPr>
        <w:t xml:space="preserve"> 5%</w:t>
      </w:r>
      <w:r>
        <w:rPr>
          <w:rFonts w:ascii="宋体" w:hAnsi="宋体" w:eastAsia="宋体" w:cs="Arial"/>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Arial"/>
          <w:color w:val="000000" w:themeColor="text1"/>
          <w:kern w:val="0"/>
          <w:sz w:val="24"/>
          <w:szCs w:val="24"/>
          <w:highlight w:val="none"/>
          <w14:textFill>
            <w14:solidFill>
              <w14:schemeClr w14:val="tx1"/>
            </w14:solidFill>
          </w14:textFill>
        </w:rPr>
        <w:t>（人民币大写：</w:t>
      </w:r>
      <w:r>
        <w:rPr>
          <w:rFonts w:hint="eastAsia" w:ascii="宋体" w:hAnsi="宋体" w:cs="Arial"/>
          <w:color w:val="000000" w:themeColor="text1"/>
          <w:kern w:val="0"/>
          <w:sz w:val="24"/>
          <w:highlight w:val="none"/>
          <w:u w:val="single"/>
          <w14:textFill>
            <w14:solidFill>
              <w14:schemeClr w14:val="tx1"/>
            </w14:solidFill>
          </w14:textFill>
        </w:rPr>
        <w:t>　</w:t>
      </w:r>
      <w:r>
        <w:rPr>
          <w:rFonts w:hint="eastAsia" w:ascii="宋体" w:hAnsi="宋体" w:eastAsia="宋体" w:cs="Arial"/>
          <w:color w:val="000000" w:themeColor="text1"/>
          <w:kern w:val="0"/>
          <w:sz w:val="24"/>
          <w:szCs w:val="24"/>
          <w:highlight w:val="none"/>
          <w:u w:val="single"/>
          <w14:textFill>
            <w14:solidFill>
              <w14:schemeClr w14:val="tx1"/>
            </w14:solidFill>
          </w14:textFill>
        </w:rPr>
        <w:t>（¥</w:t>
      </w:r>
      <w:r>
        <w:rPr>
          <w:rFonts w:hint="eastAsia" w:ascii="宋体" w:hAnsi="宋体" w:cs="Arial"/>
          <w:color w:val="000000" w:themeColor="text1"/>
          <w:kern w:val="0"/>
          <w:sz w:val="24"/>
          <w:highlight w:val="none"/>
          <w:u w:val="single"/>
          <w14:textFill>
            <w14:solidFill>
              <w14:schemeClr w14:val="tx1"/>
            </w14:solidFill>
          </w14:textFill>
        </w:rPr>
        <w:t>　　　</w:t>
      </w:r>
      <w:r>
        <w:rPr>
          <w:rFonts w:hint="eastAsia" w:ascii="宋体" w:hAnsi="宋体" w:eastAsia="宋体" w:cs="Arial"/>
          <w:color w:val="000000" w:themeColor="text1"/>
          <w:kern w:val="0"/>
          <w:sz w:val="24"/>
          <w:szCs w:val="24"/>
          <w:highlight w:val="none"/>
          <w:u w:val="single"/>
          <w14:textFill>
            <w14:solidFill>
              <w14:schemeClr w14:val="tx1"/>
            </w14:solidFill>
          </w14:textFill>
        </w:rPr>
        <w:t>）</w:t>
      </w:r>
      <w:r>
        <w:rPr>
          <w:rFonts w:hint="eastAsia" w:ascii="宋体" w:hAnsi="宋体" w:eastAsia="宋体" w:cs="Arial"/>
          <w:color w:val="000000" w:themeColor="text1"/>
          <w:kern w:val="0"/>
          <w:sz w:val="24"/>
          <w:szCs w:val="24"/>
          <w:highlight w:val="none"/>
          <w14:textFill>
            <w14:solidFill>
              <w14:schemeClr w14:val="tx1"/>
            </w14:solidFill>
          </w14:textFill>
        </w:rPr>
        <w:t>）作为合同履约及质保金到甲方指定账户，服务验收完毕后30个工作日内，甲方支付合同全款。保质期满后若无质量问题，甲方无息退还合同履约及质保金（若因乙方原因逾期不办理报账手续，每逾期达到15天，则质保金推迟一年退还）。</w:t>
      </w:r>
    </w:p>
    <w:p>
      <w:pPr>
        <w:pStyle w:val="92"/>
        <w:tabs>
          <w:tab w:val="left" w:pos="360"/>
        </w:tabs>
        <w:snapToGrid w:val="0"/>
        <w:spacing w:before="120" w:beforeLines="50" w:line="360" w:lineRule="auto"/>
        <w:rPr>
          <w:rFonts w:hAnsi="宋体" w:cs="Arial"/>
          <w:b/>
          <w:color w:val="000000" w:themeColor="text1"/>
          <w:sz w:val="24"/>
          <w:szCs w:val="24"/>
          <w:highlight w:val="none"/>
          <w14:textFill>
            <w14:solidFill>
              <w14:schemeClr w14:val="tx1"/>
            </w14:solidFill>
          </w14:textFill>
        </w:rPr>
      </w:pPr>
      <w:r>
        <w:rPr>
          <w:rFonts w:hint="eastAsia" w:hAnsi="宋体" w:cs="Arial"/>
          <w:b/>
          <w:color w:val="000000" w:themeColor="text1"/>
          <w:sz w:val="24"/>
          <w:szCs w:val="24"/>
          <w:highlight w:val="none"/>
          <w14:textFill>
            <w14:solidFill>
              <w14:schemeClr w14:val="tx1"/>
            </w14:solidFill>
          </w14:textFill>
        </w:rPr>
        <w:t>四、售后服务</w:t>
      </w:r>
    </w:p>
    <w:p>
      <w:pPr>
        <w:pStyle w:val="93"/>
        <w:snapToGrid w:val="0"/>
        <w:spacing w:line="360" w:lineRule="auto"/>
        <w:ind w:left="0" w:firstLine="480" w:firstLineChars="200"/>
        <w:rPr>
          <w:rFonts w:ascii="宋体" w:hAnsi="宋体"/>
          <w:color w:val="000000" w:themeColor="text1"/>
          <w:szCs w:val="24"/>
          <w:highlight w:val="none"/>
          <w14:textFill>
            <w14:solidFill>
              <w14:schemeClr w14:val="tx1"/>
            </w14:solidFill>
          </w14:textFill>
        </w:rPr>
      </w:pPr>
      <w:r>
        <w:rPr>
          <w:rFonts w:hint="eastAsia" w:ascii="宋体" w:hAnsi="宋体" w:cs="Arial"/>
          <w:color w:val="000000" w:themeColor="text1"/>
          <w:szCs w:val="24"/>
          <w:highlight w:val="none"/>
          <w14:textFill>
            <w14:solidFill>
              <w14:schemeClr w14:val="tx1"/>
            </w14:solidFill>
          </w14:textFill>
        </w:rPr>
        <w:t>本项目所有服务免费质保时间从验收合格之日开始，质保期满为止。质保期内出现非人为因素引起的质量问题，乙方负责免费维修维护，并在甲方提出申请后24内作出响应。质保期满后，乙方仍须为甲方提供本项目售后服务，设备维修仅收配件费用。</w:t>
      </w:r>
    </w:p>
    <w:p>
      <w:pPr>
        <w:pStyle w:val="92"/>
        <w:tabs>
          <w:tab w:val="left" w:pos="360"/>
        </w:tabs>
        <w:snapToGrid w:val="0"/>
        <w:spacing w:before="120" w:beforeLines="50" w:line="360" w:lineRule="auto"/>
        <w:rPr>
          <w:rFonts w:hAnsi="宋体" w:cs="Arial"/>
          <w:b/>
          <w:color w:val="000000" w:themeColor="text1"/>
          <w:sz w:val="24"/>
          <w:szCs w:val="24"/>
          <w:highlight w:val="none"/>
          <w14:textFill>
            <w14:solidFill>
              <w14:schemeClr w14:val="tx1"/>
            </w14:solidFill>
          </w14:textFill>
        </w:rPr>
      </w:pPr>
      <w:r>
        <w:rPr>
          <w:rFonts w:hint="eastAsia" w:hAnsi="宋体" w:cs="Arial"/>
          <w:b/>
          <w:color w:val="000000" w:themeColor="text1"/>
          <w:sz w:val="24"/>
          <w:szCs w:val="24"/>
          <w:highlight w:val="none"/>
          <w14:textFill>
            <w14:solidFill>
              <w14:schemeClr w14:val="tx1"/>
            </w14:solidFill>
          </w14:textFill>
        </w:rPr>
        <w:t>五、其他约定</w:t>
      </w:r>
    </w:p>
    <w:p>
      <w:pPr>
        <w:autoSpaceDN w:val="0"/>
        <w:adjustRightInd w:val="0"/>
        <w:snapToGrid w:val="0"/>
        <w:spacing w:line="360" w:lineRule="auto"/>
        <w:ind w:firstLine="482" w:firstLineChars="200"/>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微软雅黑"/>
          <w:b/>
          <w:color w:val="000000" w:themeColor="text1"/>
          <w:sz w:val="24"/>
          <w:szCs w:val="24"/>
          <w:highlight w:val="none"/>
          <w14:textFill>
            <w14:solidFill>
              <w14:schemeClr w14:val="tx1"/>
            </w14:solidFill>
          </w14:textFill>
        </w:rPr>
        <w:t>1、逾期服务赔偿</w:t>
      </w:r>
      <w:r>
        <w:rPr>
          <w:rFonts w:hint="eastAsia" w:ascii="宋体" w:hAnsi="宋体" w:eastAsia="宋体" w:cs="微软雅黑"/>
          <w:color w:val="000000" w:themeColor="text1"/>
          <w:sz w:val="24"/>
          <w:szCs w:val="24"/>
          <w:highlight w:val="none"/>
          <w14:textFill>
            <w14:solidFill>
              <w14:schemeClr w14:val="tx1"/>
            </w14:solidFill>
          </w14:textFill>
        </w:rPr>
        <w:t>：若乙方服务逾期，按逾期验收部分每天</w:t>
      </w:r>
      <w:r>
        <w:rPr>
          <w:rFonts w:hint="eastAsia" w:ascii="宋体" w:hAnsi="宋体" w:eastAsia="宋体" w:cs="微软雅黑"/>
          <w:color w:val="000000" w:themeColor="text1"/>
          <w:sz w:val="24"/>
          <w:szCs w:val="24"/>
          <w:highlight w:val="none"/>
          <w:u w:val="single"/>
          <w14:textFill>
            <w14:solidFill>
              <w14:schemeClr w14:val="tx1"/>
            </w14:solidFill>
          </w14:textFill>
        </w:rPr>
        <w:t xml:space="preserve"> 0.1% </w:t>
      </w:r>
      <w:r>
        <w:rPr>
          <w:rFonts w:hint="eastAsia" w:ascii="宋体" w:hAnsi="宋体" w:eastAsia="宋体" w:cs="微软雅黑"/>
          <w:color w:val="000000" w:themeColor="text1"/>
          <w:sz w:val="24"/>
          <w:szCs w:val="24"/>
          <w:highlight w:val="none"/>
          <w14:textFill>
            <w14:solidFill>
              <w14:schemeClr w14:val="tx1"/>
            </w14:solidFill>
          </w14:textFill>
        </w:rPr>
        <w:t>计算（最高不超过5%），向甲方偿付逾期违约金，并承担甲方因此所受的其他损失费用。</w:t>
      </w:r>
      <w:r>
        <w:rPr>
          <w:rFonts w:hint="eastAsia" w:ascii="宋体" w:hAnsi="宋体" w:eastAsia="宋体"/>
          <w:color w:val="000000" w:themeColor="text1"/>
          <w:sz w:val="24"/>
          <w:szCs w:val="24"/>
          <w:highlight w:val="none"/>
          <w14:textFill>
            <w14:solidFill>
              <w14:schemeClr w14:val="tx1"/>
            </w14:solidFill>
          </w14:textFill>
        </w:rPr>
        <w:t>如果遇到天灾等不可抗拒因素导致不能按时服务，乙方须提供相关证据后，可不承担</w:t>
      </w:r>
      <w:r>
        <w:rPr>
          <w:rFonts w:hint="eastAsia" w:ascii="宋体" w:hAnsi="宋体" w:eastAsia="宋体" w:cs="微软雅黑"/>
          <w:color w:val="000000" w:themeColor="text1"/>
          <w:sz w:val="24"/>
          <w:szCs w:val="24"/>
          <w:highlight w:val="none"/>
          <w14:textFill>
            <w14:solidFill>
              <w14:schemeClr w14:val="tx1"/>
            </w14:solidFill>
          </w14:textFill>
        </w:rPr>
        <w:t>逾期</w:t>
      </w:r>
      <w:r>
        <w:rPr>
          <w:rFonts w:hint="eastAsia" w:ascii="宋体" w:hAnsi="宋体" w:eastAsia="宋体"/>
          <w:color w:val="000000" w:themeColor="text1"/>
          <w:sz w:val="24"/>
          <w:szCs w:val="24"/>
          <w:highlight w:val="none"/>
          <w14:textFill>
            <w14:solidFill>
              <w14:schemeClr w14:val="tx1"/>
            </w14:solidFill>
          </w14:textFill>
        </w:rPr>
        <w:t>交货责任；若因甲方付款时间延期，乙方也可不承担</w:t>
      </w:r>
      <w:r>
        <w:rPr>
          <w:rFonts w:hint="eastAsia" w:ascii="宋体" w:hAnsi="宋体" w:eastAsia="宋体" w:cs="微软雅黑"/>
          <w:color w:val="000000" w:themeColor="text1"/>
          <w:sz w:val="24"/>
          <w:szCs w:val="24"/>
          <w:highlight w:val="none"/>
          <w14:textFill>
            <w14:solidFill>
              <w14:schemeClr w14:val="tx1"/>
            </w14:solidFill>
          </w14:textFill>
        </w:rPr>
        <w:t>逾期</w:t>
      </w:r>
      <w:r>
        <w:rPr>
          <w:rFonts w:hint="eastAsia" w:ascii="宋体" w:hAnsi="宋体" w:eastAsia="宋体"/>
          <w:color w:val="000000" w:themeColor="text1"/>
          <w:sz w:val="24"/>
          <w:szCs w:val="24"/>
          <w:highlight w:val="none"/>
          <w14:textFill>
            <w14:solidFill>
              <w14:schemeClr w14:val="tx1"/>
            </w14:solidFill>
          </w14:textFill>
        </w:rPr>
        <w:t>交货责任。</w:t>
      </w:r>
    </w:p>
    <w:p>
      <w:pPr>
        <w:autoSpaceDN w:val="0"/>
        <w:adjustRightInd w:val="0"/>
        <w:snapToGrid w:val="0"/>
        <w:spacing w:line="360" w:lineRule="auto"/>
        <w:ind w:firstLine="482" w:firstLineChars="200"/>
        <w:rPr>
          <w:rFonts w:ascii="宋体" w:hAnsi="宋体" w:eastAsia="宋体" w:cs="微软雅黑"/>
          <w:color w:val="000000" w:themeColor="text1"/>
          <w:sz w:val="24"/>
          <w:szCs w:val="24"/>
          <w:highlight w:val="none"/>
          <w14:textFill>
            <w14:solidFill>
              <w14:schemeClr w14:val="tx1"/>
            </w14:solidFill>
          </w14:textFill>
        </w:rPr>
      </w:pPr>
      <w:r>
        <w:rPr>
          <w:rFonts w:ascii="宋体" w:hAnsi="宋体" w:eastAsia="宋体"/>
          <w:b/>
          <w:color w:val="000000" w:themeColor="text1"/>
          <w:sz w:val="24"/>
          <w:szCs w:val="24"/>
          <w:highlight w:val="none"/>
          <w14:textFill>
            <w14:solidFill>
              <w14:schemeClr w14:val="tx1"/>
            </w14:solidFill>
          </w14:textFill>
        </w:rPr>
        <w:t>2</w:t>
      </w:r>
      <w:r>
        <w:rPr>
          <w:rFonts w:hint="eastAsia" w:ascii="宋体" w:hAnsi="宋体" w:eastAsia="宋体"/>
          <w:b/>
          <w:color w:val="000000" w:themeColor="text1"/>
          <w:sz w:val="24"/>
          <w:szCs w:val="24"/>
          <w:highlight w:val="none"/>
          <w14:textFill>
            <w14:solidFill>
              <w14:schemeClr w14:val="tx1"/>
            </w14:solidFill>
          </w14:textFill>
        </w:rPr>
        <w:t>、</w:t>
      </w:r>
      <w:r>
        <w:rPr>
          <w:rFonts w:hint="eastAsia" w:ascii="宋体" w:hAnsi="宋体" w:eastAsia="宋体" w:cs="微软雅黑"/>
          <w:b/>
          <w:color w:val="000000" w:themeColor="text1"/>
          <w:sz w:val="24"/>
          <w:szCs w:val="24"/>
          <w:highlight w:val="none"/>
          <w14:textFill>
            <w14:solidFill>
              <w14:schemeClr w14:val="tx1"/>
            </w14:solidFill>
          </w14:textFill>
        </w:rPr>
        <w:t>逾期付款赔偿</w:t>
      </w:r>
      <w:r>
        <w:rPr>
          <w:rFonts w:hint="eastAsia" w:ascii="宋体" w:hAnsi="宋体" w:eastAsia="宋体" w:cs="微软雅黑"/>
          <w:color w:val="000000" w:themeColor="text1"/>
          <w:sz w:val="24"/>
          <w:szCs w:val="24"/>
          <w:highlight w:val="none"/>
          <w14:textFill>
            <w14:solidFill>
              <w14:schemeClr w14:val="tx1"/>
            </w14:solidFill>
          </w14:textFill>
        </w:rPr>
        <w:t>：若因甲方逾期付款，除因特殊情况外，按逾期未付款部分每天</w:t>
      </w:r>
      <w:r>
        <w:rPr>
          <w:rFonts w:hint="eastAsia" w:ascii="宋体" w:hAnsi="宋体" w:eastAsia="宋体" w:cs="微软雅黑"/>
          <w:color w:val="000000" w:themeColor="text1"/>
          <w:sz w:val="24"/>
          <w:szCs w:val="24"/>
          <w:highlight w:val="none"/>
          <w:u w:val="single"/>
          <w14:textFill>
            <w14:solidFill>
              <w14:schemeClr w14:val="tx1"/>
            </w14:solidFill>
          </w14:textFill>
        </w:rPr>
        <w:t xml:space="preserve"> 0.1% </w:t>
      </w:r>
      <w:r>
        <w:rPr>
          <w:rFonts w:hint="eastAsia" w:ascii="宋体" w:hAnsi="宋体" w:eastAsia="宋体" w:cs="微软雅黑"/>
          <w:color w:val="000000" w:themeColor="text1"/>
          <w:sz w:val="24"/>
          <w:szCs w:val="24"/>
          <w:highlight w:val="none"/>
          <w14:textFill>
            <w14:solidFill>
              <w14:schemeClr w14:val="tx1"/>
            </w14:solidFill>
          </w14:textFill>
        </w:rPr>
        <w:t>计算（最高不超过5%），向乙方偿付逾期违约金。</w:t>
      </w:r>
    </w:p>
    <w:p>
      <w:pPr>
        <w:autoSpaceDN w:val="0"/>
        <w:adjustRightInd w:val="0"/>
        <w:snapToGrid w:val="0"/>
        <w:spacing w:line="360" w:lineRule="auto"/>
        <w:ind w:firstLine="482" w:firstLineChars="200"/>
        <w:rPr>
          <w:rFonts w:ascii="宋体" w:hAnsi="宋体" w:eastAsia="宋体" w:cs="微软雅黑"/>
          <w:color w:val="000000" w:themeColor="text1"/>
          <w:sz w:val="24"/>
          <w:szCs w:val="24"/>
          <w:highlight w:val="none"/>
          <w14:textFill>
            <w14:solidFill>
              <w14:schemeClr w14:val="tx1"/>
            </w14:solidFill>
          </w14:textFill>
        </w:rPr>
      </w:pPr>
      <w:r>
        <w:rPr>
          <w:rFonts w:ascii="宋体" w:hAnsi="宋体" w:eastAsia="宋体" w:cs="微软雅黑"/>
          <w:b/>
          <w:color w:val="000000" w:themeColor="text1"/>
          <w:sz w:val="24"/>
          <w:szCs w:val="24"/>
          <w:highlight w:val="none"/>
          <w14:textFill>
            <w14:solidFill>
              <w14:schemeClr w14:val="tx1"/>
            </w14:solidFill>
          </w14:textFill>
        </w:rPr>
        <w:t>3</w:t>
      </w:r>
      <w:r>
        <w:rPr>
          <w:rFonts w:hint="eastAsia" w:ascii="宋体" w:hAnsi="宋体" w:eastAsia="宋体" w:cs="微软雅黑"/>
          <w:b/>
          <w:color w:val="000000" w:themeColor="text1"/>
          <w:sz w:val="24"/>
          <w:szCs w:val="24"/>
          <w:highlight w:val="none"/>
          <w14:textFill>
            <w14:solidFill>
              <w14:schemeClr w14:val="tx1"/>
            </w14:solidFill>
          </w14:textFill>
        </w:rPr>
        <w:t>、合同终止</w:t>
      </w:r>
      <w:r>
        <w:rPr>
          <w:rFonts w:hint="eastAsia" w:ascii="宋体" w:hAnsi="宋体" w:eastAsia="宋体" w:cs="微软雅黑"/>
          <w:color w:val="000000" w:themeColor="text1"/>
          <w:sz w:val="24"/>
          <w:szCs w:val="24"/>
          <w:highlight w:val="none"/>
          <w14:textFill>
            <w14:solidFill>
              <w14:schemeClr w14:val="tx1"/>
            </w14:solidFill>
          </w14:textFill>
        </w:rPr>
        <w:t>：若乙方服务逾期或所提供服务达不到要求，时间超过合同履行期限一倍的，甲方有权解除合同。</w:t>
      </w:r>
    </w:p>
    <w:p>
      <w:pPr>
        <w:pStyle w:val="30"/>
        <w:adjustRightInd w:val="0"/>
        <w:snapToGrid w:val="0"/>
        <w:spacing w:before="0" w:beforeAutospacing="0" w:after="0" w:afterAutospacing="0" w:line="360" w:lineRule="auto"/>
        <w:ind w:firstLine="482" w:firstLineChars="200"/>
        <w:rPr>
          <w:rFonts w:hint="default"/>
          <w:color w:val="000000" w:themeColor="text1"/>
          <w:highlight w:val="none"/>
          <w14:textFill>
            <w14:solidFill>
              <w14:schemeClr w14:val="tx1"/>
            </w14:solidFill>
          </w14:textFill>
        </w:rPr>
      </w:pPr>
      <w:r>
        <w:rPr>
          <w:rFonts w:hint="default"/>
          <w:b/>
          <w:color w:val="000000" w:themeColor="text1"/>
          <w:highlight w:val="none"/>
          <w14:textFill>
            <w14:solidFill>
              <w14:schemeClr w14:val="tx1"/>
            </w14:solidFill>
          </w14:textFill>
        </w:rPr>
        <w:t>4</w:t>
      </w:r>
      <w:r>
        <w:rPr>
          <w:b/>
          <w:color w:val="000000" w:themeColor="text1"/>
          <w:highlight w:val="none"/>
          <w14:textFill>
            <w14:solidFill>
              <w14:schemeClr w14:val="tx1"/>
            </w14:solidFill>
          </w14:textFill>
        </w:rPr>
        <w:t>、争议解决</w:t>
      </w:r>
      <w:r>
        <w:rPr>
          <w:color w:val="000000" w:themeColor="text1"/>
          <w:highlight w:val="none"/>
          <w14:textFill>
            <w14:solidFill>
              <w14:schemeClr w14:val="tx1"/>
            </w14:solidFill>
          </w14:textFill>
        </w:rPr>
        <w:t>：因本合同引起的任何争议，由双方当事人协商解决，也可由当地工商行政管理部门调解，协商或调解不成的可依法向甲方所在地人民法院起诉。</w:t>
      </w:r>
    </w:p>
    <w:p>
      <w:pPr>
        <w:pStyle w:val="92"/>
        <w:tabs>
          <w:tab w:val="left" w:pos="360"/>
        </w:tabs>
        <w:snapToGrid w:val="0"/>
        <w:spacing w:before="120" w:beforeLines="50" w:line="360" w:lineRule="auto"/>
        <w:rPr>
          <w:rFonts w:hAnsi="宋体" w:cs="Arial"/>
          <w:b/>
          <w:color w:val="000000" w:themeColor="text1"/>
          <w:sz w:val="24"/>
          <w:szCs w:val="24"/>
          <w:highlight w:val="none"/>
          <w14:textFill>
            <w14:solidFill>
              <w14:schemeClr w14:val="tx1"/>
            </w14:solidFill>
          </w14:textFill>
        </w:rPr>
      </w:pPr>
      <w:r>
        <w:rPr>
          <w:rFonts w:hint="eastAsia" w:hAnsi="宋体" w:cs="Arial"/>
          <w:b/>
          <w:color w:val="000000" w:themeColor="text1"/>
          <w:sz w:val="24"/>
          <w:szCs w:val="24"/>
          <w:highlight w:val="none"/>
          <w14:textFill>
            <w14:solidFill>
              <w14:schemeClr w14:val="tx1"/>
            </w14:solidFill>
          </w14:textFill>
        </w:rPr>
        <w:t>六、</w:t>
      </w:r>
      <w:r>
        <w:rPr>
          <w:rFonts w:hAnsi="宋体" w:cs="Arial"/>
          <w:b/>
          <w:color w:val="000000" w:themeColor="text1"/>
          <w:sz w:val="24"/>
          <w:szCs w:val="24"/>
          <w:highlight w:val="none"/>
          <w14:textFill>
            <w14:solidFill>
              <w14:schemeClr w14:val="tx1"/>
            </w14:solidFill>
          </w14:textFill>
        </w:rPr>
        <w:t>附则</w:t>
      </w:r>
    </w:p>
    <w:p>
      <w:pPr>
        <w:pStyle w:val="30"/>
        <w:adjustRightInd w:val="0"/>
        <w:snapToGrid w:val="0"/>
        <w:spacing w:before="0" w:beforeAutospacing="0" w:after="0" w:afterAutospacing="0" w:line="360" w:lineRule="auto"/>
        <w:ind w:firstLine="480" w:firstLineChars="200"/>
        <w:rPr>
          <w:rFonts w:hint="default" w:cs="微软雅黑"/>
          <w:color w:val="000000" w:themeColor="text1"/>
          <w:highlight w:val="none"/>
          <w14:textFill>
            <w14:solidFill>
              <w14:schemeClr w14:val="tx1"/>
            </w14:solidFill>
          </w14:textFill>
        </w:rPr>
      </w:pPr>
      <w:r>
        <w:rPr>
          <w:rFonts w:cs="微软雅黑"/>
          <w:color w:val="000000" w:themeColor="text1"/>
          <w:highlight w:val="none"/>
          <w14:textFill>
            <w14:solidFill>
              <w14:schemeClr w14:val="tx1"/>
            </w14:solidFill>
          </w14:textFill>
        </w:rPr>
        <w:t>本合同一式六份，甲方四份，乙方两份，具有同等法律效力，本合同传真件有效。项目招响应文件是合同的必要组成部分，与其他技术和服务承诺附件具有同等法律效力。</w:t>
      </w:r>
    </w:p>
    <w:p>
      <w:pPr>
        <w:pStyle w:val="30"/>
        <w:adjustRightInd w:val="0"/>
        <w:snapToGrid w:val="0"/>
        <w:spacing w:before="0" w:beforeAutospacing="0" w:after="0" w:afterAutospacing="0" w:line="360" w:lineRule="auto"/>
        <w:ind w:firstLine="480" w:firstLineChars="200"/>
        <w:rPr>
          <w:rFonts w:hint="default" w:cs="微软雅黑"/>
          <w:color w:val="000000" w:themeColor="text1"/>
          <w:highlight w:val="none"/>
          <w14:textFill>
            <w14:solidFill>
              <w14:schemeClr w14:val="tx1"/>
            </w14:solidFill>
          </w14:textFill>
        </w:rPr>
      </w:pPr>
      <w:r>
        <w:rPr>
          <w:rFonts w:cs="微软雅黑"/>
          <w:color w:val="000000" w:themeColor="text1"/>
          <w:highlight w:val="none"/>
          <w14:textFill>
            <w14:solidFill>
              <w14:schemeClr w14:val="tx1"/>
            </w14:solidFill>
          </w14:textFill>
        </w:rPr>
        <w:t>本合同一经双方签字、盖章即生效，合同执行期间，双方均不得随意变更或解除合同。合同未尽事宜，经双方共同协商，作出的书面补充规定，与本合同具有同等法律效力。</w:t>
      </w:r>
    </w:p>
    <w:p>
      <w:pPr>
        <w:adjustRightInd w:val="0"/>
        <w:snapToGrid w:val="0"/>
        <w:rPr>
          <w:color w:val="000000" w:themeColor="text1"/>
          <w:szCs w:val="21"/>
          <w:highlight w:val="none"/>
          <w14:textFill>
            <w14:solidFill>
              <w14:schemeClr w14:val="tx1"/>
            </w14:solidFill>
          </w14:textFill>
        </w:rPr>
      </w:pPr>
    </w:p>
    <w:p>
      <w:pPr>
        <w:pStyle w:val="16"/>
        <w:adjustRightInd w:val="0"/>
        <w:snapToGrid w:val="0"/>
        <w:spacing w:after="0"/>
        <w:rPr>
          <w:color w:val="000000" w:themeColor="text1"/>
          <w:sz w:val="21"/>
          <w:szCs w:val="21"/>
          <w:highlight w:val="none"/>
          <w14:textFill>
            <w14:solidFill>
              <w14:schemeClr w14:val="tx1"/>
            </w14:solidFill>
          </w14:textFill>
        </w:rPr>
      </w:pPr>
    </w:p>
    <w:p>
      <w:pPr>
        <w:pStyle w:val="16"/>
        <w:adjustRightInd w:val="0"/>
        <w:snapToGrid w:val="0"/>
        <w:spacing w:after="0"/>
        <w:rPr>
          <w:color w:val="000000" w:themeColor="text1"/>
          <w:sz w:val="21"/>
          <w:szCs w:val="21"/>
          <w:highlight w:val="none"/>
          <w14:textFill>
            <w14:solidFill>
              <w14:schemeClr w14:val="tx1"/>
            </w14:solidFill>
          </w14:textFill>
        </w:rPr>
      </w:pPr>
    </w:p>
    <w:p>
      <w:pPr>
        <w:pStyle w:val="16"/>
        <w:adjustRightInd w:val="0"/>
        <w:snapToGrid w:val="0"/>
        <w:spacing w:after="0"/>
        <w:rPr>
          <w:color w:val="000000" w:themeColor="text1"/>
          <w:sz w:val="21"/>
          <w:szCs w:val="21"/>
          <w:highlight w:val="none"/>
          <w14:textFill>
            <w14:solidFill>
              <w14:schemeClr w14:val="tx1"/>
            </w14:solidFill>
          </w14:textFill>
        </w:rPr>
      </w:pPr>
    </w:p>
    <w:p>
      <w:pPr>
        <w:pStyle w:val="16"/>
        <w:adjustRightInd w:val="0"/>
        <w:snapToGrid w:val="0"/>
        <w:spacing w:after="0"/>
        <w:rPr>
          <w:color w:val="000000" w:themeColor="text1"/>
          <w:sz w:val="21"/>
          <w:szCs w:val="21"/>
          <w:highlight w:val="none"/>
          <w14:textFill>
            <w14:solidFill>
              <w14:schemeClr w14:val="tx1"/>
            </w14:solidFill>
          </w14:textFill>
        </w:rPr>
      </w:pPr>
    </w:p>
    <w:tbl>
      <w:tblPr>
        <w:tblStyle w:val="32"/>
        <w:tblpPr w:leftFromText="180" w:rightFromText="180" w:vertAnchor="text" w:horzAnchor="page" w:tblpXSpec="center" w:tblpY="34"/>
        <w:tblW w:w="5000" w:type="pct"/>
        <w:tblInd w:w="0" w:type="dxa"/>
        <w:tblLayout w:type="autofit"/>
        <w:tblCellMar>
          <w:top w:w="0" w:type="dxa"/>
          <w:left w:w="108" w:type="dxa"/>
          <w:bottom w:w="0" w:type="dxa"/>
          <w:right w:w="108" w:type="dxa"/>
        </w:tblCellMar>
      </w:tblPr>
      <w:tblGrid>
        <w:gridCol w:w="4558"/>
        <w:gridCol w:w="4559"/>
      </w:tblGrid>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甲方：湖北科技学院</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乙方：</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委托代理人：</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委托代理人：</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日  期：     年    月    日</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日  期：      年     月     日</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开户行：</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开户行：</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帐  号：</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帐  号：</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户  名：湖北科技学院</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电  话：</w:t>
            </w:r>
          </w:p>
        </w:tc>
      </w:tr>
    </w:tbl>
    <w:p>
      <w:pPr>
        <w:rPr>
          <w:rFonts w:ascii="Calibri" w:hAnsi="Calibri" w:eastAsia="宋体" w:cs="Times New Roman"/>
          <w:color w:val="000000"/>
          <w:highlight w:val="none"/>
        </w:rPr>
      </w:pPr>
    </w:p>
    <w:bookmarkEnd w:id="121"/>
    <w:p>
      <w:pPr>
        <w:widowControl/>
        <w:jc w:val="left"/>
        <w:rPr>
          <w:rFonts w:ascii="Times New Roman" w:hAnsi="Times New Roman" w:eastAsia="黑体"/>
          <w:bCs/>
          <w:kern w:val="44"/>
          <w:sz w:val="36"/>
          <w:szCs w:val="36"/>
          <w:highlight w:val="none"/>
        </w:rPr>
      </w:pPr>
      <w:bookmarkStart w:id="122" w:name="_Toc38457860"/>
      <w:r>
        <w:rPr>
          <w:sz w:val="36"/>
          <w:szCs w:val="36"/>
          <w:highlight w:val="none"/>
        </w:rPr>
        <w:br w:type="page"/>
      </w:r>
    </w:p>
    <w:p>
      <w:pPr>
        <w:pStyle w:val="3"/>
        <w:jc w:val="center"/>
        <w:rPr>
          <w:sz w:val="36"/>
          <w:szCs w:val="36"/>
          <w:highlight w:val="none"/>
        </w:rPr>
      </w:pPr>
      <w:bookmarkStart w:id="123" w:name="_Toc65158810"/>
      <w:r>
        <w:rPr>
          <w:rFonts w:hint="eastAsia"/>
          <w:sz w:val="36"/>
          <w:szCs w:val="36"/>
          <w:highlight w:val="none"/>
        </w:rPr>
        <w:t>响应文件格式</w:t>
      </w:r>
      <w:bookmarkEnd w:id="122"/>
      <w:bookmarkEnd w:id="123"/>
    </w:p>
    <w:p>
      <w:pPr>
        <w:pStyle w:val="4"/>
        <w:numPr>
          <w:ilvl w:val="0"/>
          <w:numId w:val="0"/>
        </w:numPr>
        <w:jc w:val="left"/>
        <w:rPr>
          <w:sz w:val="32"/>
          <w:highlight w:val="none"/>
        </w:rPr>
      </w:pPr>
      <w:bookmarkStart w:id="124" w:name="_Toc38457861"/>
      <w:bookmarkStart w:id="125" w:name="_Toc65158811"/>
      <w:bookmarkStart w:id="126" w:name="_Toc2782592"/>
      <w:bookmarkStart w:id="127" w:name="_Toc494745312"/>
      <w:bookmarkStart w:id="128" w:name="_Toc494665548"/>
      <w:bookmarkStart w:id="129" w:name="_Toc494721095"/>
      <w:bookmarkStart w:id="130" w:name="_Toc494665945"/>
      <w:bookmarkStart w:id="131" w:name="_Toc494664995"/>
      <w:bookmarkStart w:id="132" w:name="_Toc511894522"/>
      <w:bookmarkStart w:id="133" w:name="_Toc494702265"/>
      <w:r>
        <w:rPr>
          <w:rFonts w:hint="eastAsia"/>
          <w:sz w:val="32"/>
          <w:highlight w:val="none"/>
        </w:rPr>
        <w:t>响应文件封面</w:t>
      </w:r>
      <w:bookmarkEnd w:id="124"/>
      <w:bookmarkEnd w:id="125"/>
    </w:p>
    <w:p>
      <w:pPr>
        <w:jc w:val="center"/>
        <w:rPr>
          <w:highlight w:val="none"/>
        </w:rPr>
      </w:pPr>
    </w:p>
    <w:p>
      <w:pPr>
        <w:jc w:val="center"/>
        <w:rPr>
          <w:highlight w:val="none"/>
        </w:rPr>
      </w:pPr>
    </w:p>
    <w:p>
      <w:pPr>
        <w:jc w:val="center"/>
        <w:rPr>
          <w:highlight w:val="none"/>
        </w:rPr>
      </w:pPr>
    </w:p>
    <w:p>
      <w:pPr>
        <w:jc w:val="center"/>
        <w:rPr>
          <w:highlight w:val="none"/>
        </w:rPr>
      </w:pPr>
    </w:p>
    <w:p>
      <w:pPr>
        <w:adjustRightInd w:val="0"/>
        <w:snapToGrid w:val="0"/>
        <w:jc w:val="center"/>
        <w:rPr>
          <w:rFonts w:ascii="黑体" w:hAnsi="黑体" w:eastAsia="黑体"/>
          <w:b/>
          <w:spacing w:val="60"/>
          <w:sz w:val="52"/>
          <w:szCs w:val="52"/>
          <w:highlight w:val="none"/>
          <w14:shadow w14:blurRad="50800" w14:dist="38100" w14:dir="2700000" w14:sx="100000" w14:sy="100000" w14:kx="0" w14:ky="0" w14:algn="tl">
            <w14:srgbClr w14:val="000000">
              <w14:alpha w14:val="60000"/>
            </w14:srgbClr>
          </w14:shadow>
        </w:rPr>
      </w:pPr>
      <w:r>
        <w:rPr>
          <w:rFonts w:hint="eastAsia" w:ascii="黑体" w:hAnsi="黑体" w:eastAsia="黑体"/>
          <w:b/>
          <w:spacing w:val="60"/>
          <w:sz w:val="52"/>
          <w:szCs w:val="52"/>
          <w:highlight w:val="none"/>
          <w14:shadow w14:blurRad="50800" w14:dist="38100" w14:dir="2700000" w14:sx="100000" w14:sy="100000" w14:kx="0" w14:ky="0" w14:algn="tl">
            <w14:srgbClr w14:val="000000">
              <w14:alpha w14:val="60000"/>
            </w14:srgbClr>
          </w14:shadow>
        </w:rPr>
        <w:t>湖北科技学院采购项目</w:t>
      </w:r>
    </w:p>
    <w:p>
      <w:pPr>
        <w:jc w:val="center"/>
        <w:rPr>
          <w:highlight w:val="none"/>
        </w:rPr>
      </w:pPr>
    </w:p>
    <w:p>
      <w:pPr>
        <w:jc w:val="center"/>
        <w:rPr>
          <w:highlight w:val="none"/>
        </w:rPr>
      </w:pPr>
    </w:p>
    <w:p>
      <w:pPr>
        <w:jc w:val="center"/>
        <w:rPr>
          <w:highlight w:val="none"/>
        </w:rPr>
      </w:pPr>
    </w:p>
    <w:p>
      <w:pPr>
        <w:adjustRightInd w:val="0"/>
        <w:snapToGrid w:val="0"/>
        <w:jc w:val="center"/>
        <w:rPr>
          <w:rFonts w:ascii="黑体" w:hAnsi="黑体" w:eastAsia="黑体"/>
          <w:b/>
          <w:sz w:val="64"/>
          <w:szCs w:val="64"/>
          <w:highlight w:val="none"/>
          <w14:shadow w14:blurRad="50800" w14:dist="38100" w14:dir="2700000" w14:sx="100000" w14:sy="100000" w14:kx="0" w14:ky="0" w14:algn="tl">
            <w14:srgbClr w14:val="000000">
              <w14:alpha w14:val="60000"/>
            </w14:srgbClr>
          </w14:shadow>
        </w:rPr>
      </w:pPr>
      <w:r>
        <w:rPr>
          <w:rFonts w:hint="eastAsia" w:ascii="黑体" w:hAnsi="黑体" w:eastAsia="黑体"/>
          <w:b/>
          <w:sz w:val="64"/>
          <w:szCs w:val="64"/>
          <w:highlight w:val="none"/>
          <w14:shadow w14:blurRad="50800" w14:dist="38100" w14:dir="2700000" w14:sx="100000" w14:sy="100000" w14:kx="0" w14:ky="0" w14:algn="tl">
            <w14:srgbClr w14:val="000000">
              <w14:alpha w14:val="60000"/>
            </w14:srgbClr>
          </w14:shadow>
        </w:rPr>
        <w:t>竞争性磋商响应文件</w:t>
      </w:r>
    </w:p>
    <w:p>
      <w:pPr>
        <w:spacing w:before="120" w:beforeLines="50" w:line="360" w:lineRule="auto"/>
        <w:jc w:val="center"/>
        <w:rPr>
          <w:rFonts w:ascii="黑体" w:hAnsi="黑体" w:eastAsia="黑体"/>
          <w:b/>
          <w:bCs/>
          <w:sz w:val="36"/>
          <w:szCs w:val="36"/>
          <w:highlight w:val="none"/>
        </w:rPr>
      </w:pPr>
      <w:r>
        <w:rPr>
          <w:rFonts w:hint="eastAsia" w:ascii="黑体" w:hAnsi="黑体" w:eastAsia="黑体"/>
          <w:b/>
          <w:bCs/>
          <w:sz w:val="36"/>
          <w:szCs w:val="36"/>
          <w:highlight w:val="none"/>
        </w:rPr>
        <w:t>（正/副本）</w:t>
      </w:r>
    </w:p>
    <w:p>
      <w:pPr>
        <w:jc w:val="center"/>
        <w:rPr>
          <w:highlight w:val="none"/>
        </w:rPr>
      </w:pPr>
    </w:p>
    <w:p>
      <w:pPr>
        <w:jc w:val="center"/>
        <w:rPr>
          <w:highlight w:val="none"/>
        </w:rPr>
      </w:pPr>
    </w:p>
    <w:tbl>
      <w:tblPr>
        <w:tblStyle w:val="32"/>
        <w:tblW w:w="0" w:type="auto"/>
        <w:jc w:val="center"/>
        <w:tblLayout w:type="fixed"/>
        <w:tblCellMar>
          <w:top w:w="0" w:type="dxa"/>
          <w:left w:w="108" w:type="dxa"/>
          <w:bottom w:w="0" w:type="dxa"/>
          <w:right w:w="108" w:type="dxa"/>
        </w:tblCellMar>
      </w:tblPr>
      <w:tblGrid>
        <w:gridCol w:w="1566"/>
        <w:gridCol w:w="5947"/>
      </w:tblGrid>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ascii="黑体" w:hAnsi="黑体" w:eastAsia="黑体"/>
                <w:bCs/>
                <w:color w:val="000000"/>
                <w:sz w:val="30"/>
                <w:szCs w:val="30"/>
                <w:highlight w:val="none"/>
              </w:rPr>
              <w:t>项目编号</w:t>
            </w:r>
            <w:r>
              <w:rPr>
                <w:rFonts w:hint="eastAsia" w:ascii="黑体" w:hAnsi="黑体" w:eastAsia="黑体"/>
                <w:bCs/>
                <w:color w:val="000000"/>
                <w:sz w:val="30"/>
                <w:szCs w:val="30"/>
                <w:highlight w:val="none"/>
              </w:rPr>
              <w:t>:</w:t>
            </w:r>
          </w:p>
        </w:tc>
        <w:tc>
          <w:tcPr>
            <w:tcW w:w="5947" w:type="dxa"/>
            <w:tcBorders>
              <w:bottom w:val="single" w:color="auto" w:sz="8" w:space="0"/>
            </w:tcBorders>
            <w:shd w:val="clear" w:color="auto" w:fill="auto"/>
            <w:vAlign w:val="bottom"/>
          </w:tcPr>
          <w:p>
            <w:pPr>
              <w:adjustRightInd w:val="0"/>
              <w:snapToGrid w:val="0"/>
              <w:jc w:val="center"/>
              <w:rPr>
                <w:rFonts w:ascii="黑体" w:hAnsi="黑体" w:eastAsia="黑体"/>
                <w:bCs/>
                <w:color w:val="000000"/>
                <w:sz w:val="30"/>
                <w:szCs w:val="30"/>
                <w:highlight w:val="none"/>
              </w:rPr>
            </w:pPr>
          </w:p>
        </w:tc>
      </w:tr>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ascii="黑体" w:hAnsi="黑体" w:eastAsia="黑体"/>
                <w:bCs/>
                <w:color w:val="000000"/>
                <w:sz w:val="30"/>
                <w:szCs w:val="30"/>
                <w:highlight w:val="none"/>
              </w:rPr>
              <w:t>项目名称</w:t>
            </w:r>
            <w:r>
              <w:rPr>
                <w:rFonts w:hint="eastAsia" w:ascii="黑体" w:hAnsi="黑体" w:eastAsia="黑体"/>
                <w:bCs/>
                <w:color w:val="000000"/>
                <w:sz w:val="30"/>
                <w:szCs w:val="30"/>
                <w:highlight w:val="none"/>
              </w:rPr>
              <w:t>:</w:t>
            </w:r>
          </w:p>
        </w:tc>
        <w:tc>
          <w:tcPr>
            <w:tcW w:w="5947" w:type="dxa"/>
            <w:tcBorders>
              <w:top w:val="single" w:color="auto" w:sz="8" w:space="0"/>
              <w:bottom w:val="single" w:color="auto" w:sz="8" w:space="0"/>
            </w:tcBorders>
            <w:shd w:val="clear" w:color="auto" w:fill="auto"/>
            <w:vAlign w:val="bottom"/>
          </w:tcPr>
          <w:p>
            <w:pPr>
              <w:adjustRightInd w:val="0"/>
              <w:snapToGrid w:val="0"/>
              <w:jc w:val="center"/>
              <w:rPr>
                <w:rFonts w:ascii="黑体" w:hAnsi="黑体" w:eastAsia="黑体"/>
                <w:bCs/>
                <w:color w:val="000000"/>
                <w:sz w:val="30"/>
                <w:szCs w:val="30"/>
                <w:highlight w:val="none"/>
              </w:rPr>
            </w:pPr>
          </w:p>
        </w:tc>
      </w:tr>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hint="eastAsia" w:ascii="黑体" w:hAnsi="黑体" w:eastAsia="黑体"/>
                <w:bCs/>
                <w:color w:val="000000"/>
                <w:sz w:val="30"/>
                <w:szCs w:val="30"/>
                <w:highlight w:val="none"/>
                <w:lang w:val="en-US" w:eastAsia="zh-CN"/>
              </w:rPr>
            </w:pPr>
            <w:r>
              <w:rPr>
                <w:rFonts w:hint="eastAsia" w:ascii="黑体" w:hAnsi="黑体" w:eastAsia="黑体"/>
                <w:bCs/>
                <w:color w:val="000000"/>
                <w:sz w:val="30"/>
                <w:szCs w:val="30"/>
                <w:highlight w:val="none"/>
                <w:lang w:val="en-US" w:eastAsia="zh-CN"/>
              </w:rPr>
              <w:t>包号</w:t>
            </w:r>
          </w:p>
        </w:tc>
        <w:tc>
          <w:tcPr>
            <w:tcW w:w="5947" w:type="dxa"/>
            <w:tcBorders>
              <w:top w:val="single" w:color="auto" w:sz="8" w:space="0"/>
              <w:bottom w:val="single" w:color="auto" w:sz="8" w:space="0"/>
            </w:tcBorders>
            <w:shd w:val="clear" w:color="auto" w:fill="auto"/>
            <w:vAlign w:val="bottom"/>
          </w:tcPr>
          <w:p>
            <w:pPr>
              <w:adjustRightInd w:val="0"/>
              <w:snapToGrid w:val="0"/>
              <w:jc w:val="center"/>
              <w:rPr>
                <w:rFonts w:ascii="黑体" w:hAnsi="黑体" w:eastAsia="黑体"/>
                <w:bCs/>
                <w:color w:val="000000"/>
                <w:sz w:val="30"/>
                <w:szCs w:val="30"/>
                <w:highlight w:val="none"/>
              </w:rPr>
            </w:pPr>
          </w:p>
        </w:tc>
      </w:tr>
    </w:tbl>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6"/>
        <w:gridCol w:w="50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66" w:type="dxa"/>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供 应 商:</w:t>
            </w:r>
          </w:p>
        </w:tc>
        <w:tc>
          <w:tcPr>
            <w:tcW w:w="5016" w:type="dxa"/>
            <w:tcBorders>
              <w:bottom w:val="single" w:color="auto" w:sz="4" w:space="0"/>
            </w:tcBorders>
            <w:vAlign w:val="bottom"/>
          </w:tcPr>
          <w:p>
            <w:pPr>
              <w:spacing w:line="400" w:lineRule="exact"/>
              <w:jc w:val="right"/>
              <w:rPr>
                <w:rFonts w:ascii="黑体" w:hAnsi="黑体" w:eastAsia="黑体"/>
                <w:bCs/>
                <w:sz w:val="30"/>
                <w:szCs w:val="30"/>
                <w:highlight w:val="none"/>
              </w:rPr>
            </w:pPr>
            <w:r>
              <w:rPr>
                <w:rFonts w:hint="eastAsia" w:ascii="黑体" w:hAnsi="黑体" w:eastAsia="黑体"/>
                <w:bCs/>
                <w:sz w:val="30"/>
                <w:szCs w:val="30"/>
                <w:highlight w:val="none"/>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66" w:type="dxa"/>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授权代表:</w:t>
            </w:r>
          </w:p>
        </w:tc>
        <w:tc>
          <w:tcPr>
            <w:tcW w:w="5016" w:type="dxa"/>
            <w:tcBorders>
              <w:top w:val="single" w:color="auto" w:sz="4" w:space="0"/>
              <w:bottom w:val="single" w:color="auto" w:sz="4" w:space="0"/>
            </w:tcBorders>
            <w:vAlign w:val="bottom"/>
          </w:tcPr>
          <w:p>
            <w:pPr>
              <w:spacing w:line="400" w:lineRule="exact"/>
              <w:jc w:val="right"/>
              <w:rPr>
                <w:rFonts w:ascii="黑体" w:hAnsi="黑体" w:eastAsia="黑体"/>
                <w:bCs/>
                <w:sz w:val="30"/>
                <w:szCs w:val="30"/>
                <w:highlight w:val="none"/>
              </w:rPr>
            </w:pPr>
            <w:r>
              <w:rPr>
                <w:rFonts w:hint="eastAsia" w:ascii="黑体" w:hAnsi="黑体" w:eastAsia="黑体"/>
                <w:bCs/>
                <w:sz w:val="30"/>
                <w:szCs w:val="30"/>
                <w:highlight w:val="none"/>
              </w:rPr>
              <w:t>（签字）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66" w:type="dxa"/>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日　　期:</w:t>
            </w:r>
          </w:p>
        </w:tc>
        <w:tc>
          <w:tcPr>
            <w:tcW w:w="5016" w:type="dxa"/>
            <w:tcBorders>
              <w:top w:val="single" w:color="auto" w:sz="4" w:space="0"/>
              <w:bottom w:val="single" w:color="auto" w:sz="4" w:space="0"/>
            </w:tcBorders>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年　月　日</w:t>
            </w:r>
          </w:p>
        </w:tc>
      </w:tr>
    </w:tbl>
    <w:p>
      <w:pPr>
        <w:jc w:val="center"/>
        <w:rPr>
          <w:highlight w:val="none"/>
        </w:rPr>
      </w:pPr>
    </w:p>
    <w:bookmarkEnd w:id="126"/>
    <w:bookmarkEnd w:id="127"/>
    <w:bookmarkEnd w:id="128"/>
    <w:bookmarkEnd w:id="129"/>
    <w:bookmarkEnd w:id="130"/>
    <w:bookmarkEnd w:id="131"/>
    <w:bookmarkEnd w:id="132"/>
    <w:bookmarkEnd w:id="133"/>
    <w:p>
      <w:pPr>
        <w:pStyle w:val="4"/>
        <w:jc w:val="center"/>
        <w:rPr>
          <w:sz w:val="36"/>
          <w:szCs w:val="36"/>
          <w:highlight w:val="none"/>
        </w:rPr>
      </w:pPr>
      <w:bookmarkStart w:id="134" w:name="_Toc65158812"/>
      <w:bookmarkStart w:id="135" w:name="_Toc476824497"/>
      <w:bookmarkStart w:id="136" w:name="_Toc24804"/>
      <w:bookmarkStart w:id="137" w:name="_Toc434831562"/>
      <w:bookmarkStart w:id="138" w:name="_Toc27731286"/>
      <w:bookmarkStart w:id="139" w:name="_Toc26947384"/>
      <w:r>
        <w:rPr>
          <w:rFonts w:hint="eastAsia"/>
          <w:sz w:val="36"/>
          <w:szCs w:val="36"/>
          <w:highlight w:val="none"/>
        </w:rPr>
        <w:t>磋商</w:t>
      </w:r>
      <w:r>
        <w:rPr>
          <w:sz w:val="36"/>
          <w:szCs w:val="36"/>
          <w:highlight w:val="none"/>
        </w:rPr>
        <w:t>函</w:t>
      </w:r>
      <w:bookmarkEnd w:id="134"/>
      <w:bookmarkEnd w:id="135"/>
      <w:bookmarkEnd w:id="136"/>
      <w:bookmarkEnd w:id="137"/>
      <w:bookmarkEnd w:id="138"/>
      <w:bookmarkEnd w:id="139"/>
    </w:p>
    <w:p>
      <w:pPr>
        <w:spacing w:line="360" w:lineRule="auto"/>
        <w:rPr>
          <w:rFonts w:ascii="宋体" w:hAnsi="宋体"/>
          <w:color w:val="000000"/>
          <w:sz w:val="24"/>
          <w:szCs w:val="24"/>
          <w:highlight w:val="none"/>
        </w:rPr>
      </w:pPr>
      <w:r>
        <w:rPr>
          <w:rFonts w:ascii="宋体" w:hAnsi="宋体"/>
          <w:color w:val="000000"/>
          <w:sz w:val="24"/>
          <w:szCs w:val="24"/>
          <w:highlight w:val="none"/>
          <w:u w:val="single"/>
        </w:rPr>
        <w:t>　　　　　　　　　　　　</w:t>
      </w:r>
      <w:r>
        <w:rPr>
          <w:rFonts w:ascii="宋体" w:hAnsi="宋体"/>
          <w:color w:val="000000"/>
          <w:sz w:val="24"/>
          <w:szCs w:val="24"/>
          <w:highlight w:val="none"/>
        </w:rPr>
        <w:t>（</w:t>
      </w:r>
      <w:r>
        <w:rPr>
          <w:rFonts w:hint="eastAsia" w:ascii="宋体" w:hAnsi="宋体"/>
          <w:color w:val="000000"/>
          <w:sz w:val="24"/>
          <w:szCs w:val="24"/>
          <w:highlight w:val="none"/>
        </w:rPr>
        <w:t>采购人</w:t>
      </w:r>
      <w:r>
        <w:rPr>
          <w:rFonts w:ascii="宋体" w:hAnsi="宋体"/>
          <w:color w:val="000000"/>
          <w:sz w:val="24"/>
          <w:szCs w:val="24"/>
          <w:highlight w:val="none"/>
        </w:rPr>
        <w:t>名称）：</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我方已仔细研究了</w:t>
      </w:r>
      <w:r>
        <w:rPr>
          <w:rFonts w:ascii="宋体" w:hAnsi="宋体"/>
          <w:color w:val="000000" w:themeColor="text1"/>
          <w:sz w:val="24"/>
          <w:szCs w:val="24"/>
          <w:highlight w:val="none"/>
          <w:u w:val="single"/>
          <w14:textFill>
            <w14:solidFill>
              <w14:schemeClr w14:val="tx1"/>
            </w14:solidFill>
          </w14:textFill>
        </w:rPr>
        <w:t>（项目名称、项目编号、项目包号）</w:t>
      </w:r>
      <w:r>
        <w:rPr>
          <w:rFonts w:hint="eastAsia" w:ascii="宋体" w:hAnsi="宋体"/>
          <w:color w:val="000000" w:themeColor="text1"/>
          <w:sz w:val="24"/>
          <w:szCs w:val="24"/>
          <w:highlight w:val="none"/>
          <w14:textFill>
            <w14:solidFill>
              <w14:schemeClr w14:val="tx1"/>
            </w14:solidFill>
          </w14:textFill>
        </w:rPr>
        <w:t>竞争性磋商</w:t>
      </w:r>
      <w:r>
        <w:rPr>
          <w:rFonts w:ascii="宋体" w:hAnsi="宋体"/>
          <w:color w:val="000000" w:themeColor="text1"/>
          <w:sz w:val="24"/>
          <w:szCs w:val="24"/>
          <w:highlight w:val="none"/>
          <w14:textFill>
            <w14:solidFill>
              <w14:schemeClr w14:val="tx1"/>
            </w14:solidFill>
          </w14:textFill>
        </w:rPr>
        <w:t>文件的全部内容（含澄清修改文件，如有），在考察项目实际需求</w:t>
      </w:r>
      <w:r>
        <w:rPr>
          <w:rFonts w:hint="eastAsia" w:ascii="宋体" w:hAnsi="宋体"/>
          <w:color w:val="000000" w:themeColor="text1"/>
          <w:sz w:val="24"/>
          <w:szCs w:val="24"/>
          <w:highlight w:val="none"/>
          <w14:textFill>
            <w14:solidFill>
              <w14:schemeClr w14:val="tx1"/>
            </w14:solidFill>
          </w14:textFill>
        </w:rPr>
        <w:t>及相关</w:t>
      </w:r>
      <w:r>
        <w:rPr>
          <w:rFonts w:ascii="宋体" w:hAnsi="宋体"/>
          <w:color w:val="000000" w:themeColor="text1"/>
          <w:sz w:val="24"/>
          <w:szCs w:val="24"/>
          <w:highlight w:val="none"/>
          <w14:textFill>
            <w14:solidFill>
              <w14:schemeClr w14:val="tx1"/>
            </w14:solidFill>
          </w14:textFill>
        </w:rPr>
        <w:t>情况后，愿意以人民币（大写）</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元（¥</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）的</w:t>
      </w:r>
      <w:r>
        <w:rPr>
          <w:rFonts w:hint="eastAsia" w:ascii="宋体" w:hAnsi="宋体"/>
          <w:color w:val="000000" w:themeColor="text1"/>
          <w:sz w:val="24"/>
          <w:szCs w:val="24"/>
          <w:highlight w:val="none"/>
          <w14:textFill>
            <w14:solidFill>
              <w14:schemeClr w14:val="tx1"/>
            </w14:solidFill>
          </w14:textFill>
        </w:rPr>
        <w:t>磋商</w:t>
      </w:r>
      <w:r>
        <w:rPr>
          <w:rFonts w:ascii="宋体" w:hAnsi="宋体"/>
          <w:color w:val="000000" w:themeColor="text1"/>
          <w:sz w:val="24"/>
          <w:szCs w:val="24"/>
          <w:highlight w:val="none"/>
          <w14:textFill>
            <w14:solidFill>
              <w14:schemeClr w14:val="tx1"/>
            </w14:solidFill>
          </w14:textFill>
        </w:rPr>
        <w:t>总报价（或根据</w:t>
      </w:r>
      <w:r>
        <w:rPr>
          <w:rFonts w:hint="eastAsia" w:ascii="宋体" w:hAnsi="宋体"/>
          <w:color w:val="000000" w:themeColor="text1"/>
          <w:sz w:val="24"/>
          <w:szCs w:val="24"/>
          <w:highlight w:val="none"/>
          <w14:textFill>
            <w14:solidFill>
              <w14:schemeClr w14:val="tx1"/>
            </w14:solidFill>
          </w14:textFill>
        </w:rPr>
        <w:t>磋商</w:t>
      </w:r>
      <w:r>
        <w:rPr>
          <w:rFonts w:ascii="宋体" w:hAnsi="宋体"/>
          <w:color w:val="000000" w:themeColor="text1"/>
          <w:sz w:val="24"/>
          <w:szCs w:val="24"/>
          <w:highlight w:val="none"/>
          <w14:textFill>
            <w14:solidFill>
              <w14:schemeClr w14:val="tx1"/>
            </w14:solidFill>
          </w14:textFill>
        </w:rPr>
        <w:t>文件规定修正核实后确定的另一金额），</w:t>
      </w:r>
      <w:r>
        <w:rPr>
          <w:rFonts w:hint="eastAsia" w:ascii="宋体" w:hAnsi="宋体"/>
          <w:sz w:val="24"/>
          <w:szCs w:val="24"/>
          <w:highlight w:val="none"/>
        </w:rPr>
        <w:t>合同履行期限</w:t>
      </w:r>
      <w:r>
        <w:rPr>
          <w:rFonts w:hint="eastAsia" w:ascii="宋体" w:hAnsi="宋体" w:cs="Times New Roman"/>
          <w:color w:val="000000" w:themeColor="text1"/>
          <w:sz w:val="24"/>
          <w:szCs w:val="24"/>
          <w:highlight w:val="none"/>
          <w14:textFill>
            <w14:solidFill>
              <w14:schemeClr w14:val="tx1"/>
            </w14:solidFill>
          </w14:textFill>
        </w:rPr>
        <w:t>为</w:t>
      </w:r>
      <w:r>
        <w:rPr>
          <w:rFonts w:ascii="宋体" w:hAnsi="宋体"/>
          <w:color w:val="000000" w:themeColor="text1"/>
          <w:sz w:val="24"/>
          <w:szCs w:val="24"/>
          <w:highlight w:val="none"/>
          <w:u w:val="single"/>
          <w14:textFill>
            <w14:solidFill>
              <w14:schemeClr w14:val="tx1"/>
            </w14:solidFill>
          </w14:textFill>
        </w:rPr>
        <w:t>　　</w:t>
      </w:r>
      <w:r>
        <w:rPr>
          <w:rFonts w:hint="eastAsia" w:ascii="宋体" w:hAnsi="宋体" w:cs="Times New Roman"/>
          <w:color w:val="000000" w:themeColor="text1"/>
          <w:sz w:val="24"/>
          <w:szCs w:val="24"/>
          <w:highlight w:val="none"/>
          <w14:textFill>
            <w14:solidFill>
              <w14:schemeClr w14:val="tx1"/>
            </w14:solidFill>
          </w14:textFill>
        </w:rPr>
        <w:t>日历天，并</w:t>
      </w:r>
      <w:r>
        <w:rPr>
          <w:rFonts w:hint="eastAsia" w:ascii="宋体" w:hAnsi="宋体"/>
          <w:color w:val="000000" w:themeColor="text1"/>
          <w:sz w:val="24"/>
          <w:szCs w:val="24"/>
          <w:highlight w:val="none"/>
          <w14:textFill>
            <w14:solidFill>
              <w14:schemeClr w14:val="tx1"/>
            </w14:solidFill>
          </w14:textFill>
        </w:rPr>
        <w:t>遵照磋商文件要求</w:t>
      </w:r>
      <w:r>
        <w:rPr>
          <w:rFonts w:ascii="宋体" w:hAnsi="宋体"/>
          <w:color w:val="000000" w:themeColor="text1"/>
          <w:sz w:val="24"/>
          <w:szCs w:val="24"/>
          <w:highlight w:val="none"/>
          <w14:textFill>
            <w14:solidFill>
              <w14:schemeClr w14:val="tx1"/>
            </w14:solidFill>
          </w14:textFill>
        </w:rPr>
        <w:t>实施和完成</w:t>
      </w:r>
      <w:r>
        <w:rPr>
          <w:rFonts w:hint="eastAsia" w:ascii="宋体" w:hAnsi="宋体"/>
          <w:color w:val="000000" w:themeColor="text1"/>
          <w:sz w:val="24"/>
          <w:szCs w:val="24"/>
          <w:highlight w:val="none"/>
          <w14:textFill>
            <w14:solidFill>
              <w14:schemeClr w14:val="tx1"/>
            </w14:solidFill>
          </w14:textFill>
        </w:rPr>
        <w:t>项目</w:t>
      </w:r>
      <w:r>
        <w:rPr>
          <w:rFonts w:ascii="宋体" w:hAnsi="宋体"/>
          <w:color w:val="000000" w:themeColor="text1"/>
          <w:sz w:val="24"/>
          <w:szCs w:val="24"/>
          <w:highlight w:val="none"/>
          <w14:textFill>
            <w14:solidFill>
              <w14:schemeClr w14:val="tx1"/>
            </w14:solidFill>
          </w14:textFill>
        </w:rPr>
        <w:t>。</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我方承诺在</w:t>
      </w:r>
      <w:r>
        <w:rPr>
          <w:rFonts w:hint="eastAsia" w:ascii="宋体" w:hAnsi="宋体"/>
          <w:color w:val="000000" w:themeColor="text1"/>
          <w:sz w:val="24"/>
          <w:szCs w:val="24"/>
          <w:highlight w:val="none"/>
          <w14:textFill>
            <w14:solidFill>
              <w14:schemeClr w14:val="tx1"/>
            </w14:solidFill>
          </w14:textFill>
        </w:rPr>
        <w:t>磋商</w:t>
      </w:r>
      <w:r>
        <w:rPr>
          <w:rFonts w:ascii="宋体" w:hAnsi="宋体"/>
          <w:color w:val="000000" w:themeColor="text1"/>
          <w:sz w:val="24"/>
          <w:szCs w:val="24"/>
          <w:highlight w:val="none"/>
          <w14:textFill>
            <w14:solidFill>
              <w14:schemeClr w14:val="tx1"/>
            </w14:solidFill>
          </w14:textFill>
        </w:rPr>
        <w:t>有效期内不修改、撤销</w:t>
      </w:r>
      <w:r>
        <w:rPr>
          <w:rFonts w:hint="eastAsia" w:ascii="宋体" w:hAnsi="宋体"/>
          <w:color w:val="000000" w:themeColor="text1"/>
          <w:sz w:val="24"/>
          <w:szCs w:val="24"/>
          <w:highlight w:val="none"/>
          <w14:textFill>
            <w14:solidFill>
              <w14:schemeClr w14:val="tx1"/>
            </w14:solidFill>
          </w14:textFill>
        </w:rPr>
        <w:t>磋商响应</w:t>
      </w:r>
      <w:r>
        <w:rPr>
          <w:rFonts w:ascii="宋体" w:hAnsi="宋体"/>
          <w:color w:val="000000" w:themeColor="text1"/>
          <w:sz w:val="24"/>
          <w:szCs w:val="24"/>
          <w:highlight w:val="none"/>
          <w14:textFill>
            <w14:solidFill>
              <w14:schemeClr w14:val="tx1"/>
            </w14:solidFill>
          </w14:textFill>
        </w:rPr>
        <w:t>文件。</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14:textFill>
            <w14:solidFill>
              <w14:schemeClr w14:val="tx1"/>
            </w14:solidFill>
          </w14:textFill>
        </w:rPr>
        <w:t>、如若</w:t>
      </w:r>
      <w:r>
        <w:rPr>
          <w:rFonts w:ascii="宋体" w:hAnsi="宋体"/>
          <w:color w:val="000000" w:themeColor="text1"/>
          <w:sz w:val="24"/>
          <w:szCs w:val="24"/>
          <w:highlight w:val="none"/>
          <w14:textFill>
            <w14:solidFill>
              <w14:schemeClr w14:val="tx1"/>
            </w14:solidFill>
          </w14:textFill>
        </w:rPr>
        <w:t>我方成交：</w:t>
      </w:r>
    </w:p>
    <w:p>
      <w:pPr>
        <w:spacing w:line="360" w:lineRule="auto"/>
        <w:ind w:left="1095" w:leftChars="350" w:hanging="360" w:hangingChars="15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1）我方承诺在收到成交通知书后，在成交通知书规定的期限内与你方签订</w:t>
      </w:r>
      <w:r>
        <w:rPr>
          <w:rFonts w:hint="eastAsia" w:ascii="宋体" w:hAnsi="宋体"/>
          <w:color w:val="000000" w:themeColor="text1"/>
          <w:sz w:val="24"/>
          <w:szCs w:val="24"/>
          <w:highlight w:val="none"/>
          <w14:textFill>
            <w14:solidFill>
              <w14:schemeClr w14:val="tx1"/>
            </w14:solidFill>
          </w14:textFill>
        </w:rPr>
        <w:t>采购</w:t>
      </w:r>
      <w:r>
        <w:rPr>
          <w:rFonts w:ascii="宋体" w:hAnsi="宋体"/>
          <w:color w:val="000000" w:themeColor="text1"/>
          <w:sz w:val="24"/>
          <w:szCs w:val="24"/>
          <w:highlight w:val="none"/>
          <w14:textFill>
            <w14:solidFill>
              <w14:schemeClr w14:val="tx1"/>
            </w14:solidFill>
          </w14:textFill>
        </w:rPr>
        <w:t>合同。</w:t>
      </w:r>
    </w:p>
    <w:p>
      <w:pPr>
        <w:spacing w:line="360" w:lineRule="auto"/>
        <w:ind w:left="1095" w:leftChars="350" w:hanging="360" w:hangingChars="15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2）我方承诺在</w:t>
      </w:r>
      <w:r>
        <w:rPr>
          <w:rFonts w:hint="eastAsia" w:ascii="宋体" w:hAnsi="宋体"/>
          <w:color w:val="000000" w:themeColor="text1"/>
          <w:sz w:val="24"/>
          <w:szCs w:val="24"/>
          <w:highlight w:val="none"/>
          <w14:textFill>
            <w14:solidFill>
              <w14:schemeClr w14:val="tx1"/>
            </w14:solidFill>
          </w14:textFill>
        </w:rPr>
        <w:t>采购</w:t>
      </w:r>
      <w:r>
        <w:rPr>
          <w:rFonts w:ascii="宋体" w:hAnsi="宋体"/>
          <w:color w:val="000000" w:themeColor="text1"/>
          <w:sz w:val="24"/>
          <w:szCs w:val="24"/>
          <w:highlight w:val="none"/>
          <w14:textFill>
            <w14:solidFill>
              <w14:schemeClr w14:val="tx1"/>
            </w14:solidFill>
          </w14:textFill>
        </w:rPr>
        <w:t>合同约定的</w:t>
      </w:r>
      <w:r>
        <w:rPr>
          <w:rFonts w:hint="eastAsia" w:ascii="宋体" w:hAnsi="宋体"/>
          <w:color w:val="000000" w:themeColor="text1"/>
          <w:sz w:val="24"/>
          <w:szCs w:val="24"/>
          <w:highlight w:val="none"/>
          <w14:textFill>
            <w14:solidFill>
              <w14:schemeClr w14:val="tx1"/>
            </w14:solidFill>
          </w14:textFill>
        </w:rPr>
        <w:t>服务期</w:t>
      </w:r>
      <w:r>
        <w:rPr>
          <w:rFonts w:ascii="宋体" w:hAnsi="宋体" w:cs="Times New Roman"/>
          <w:color w:val="000000" w:themeColor="text1"/>
          <w:sz w:val="24"/>
          <w:szCs w:val="24"/>
          <w:highlight w:val="none"/>
          <w14:textFill>
            <w14:solidFill>
              <w14:schemeClr w14:val="tx1"/>
            </w14:solidFill>
          </w14:textFill>
        </w:rPr>
        <w:t>内完成</w:t>
      </w:r>
      <w:r>
        <w:rPr>
          <w:rFonts w:hint="eastAsia" w:ascii="宋体" w:hAnsi="宋体" w:cs="Times New Roman"/>
          <w:color w:val="000000" w:themeColor="text1"/>
          <w:sz w:val="24"/>
          <w:szCs w:val="24"/>
          <w:highlight w:val="none"/>
          <w14:textFill>
            <w14:solidFill>
              <w14:schemeClr w14:val="tx1"/>
            </w14:solidFill>
          </w14:textFill>
        </w:rPr>
        <w:t>所有工作内容</w:t>
      </w:r>
      <w:r>
        <w:rPr>
          <w:rFonts w:ascii="宋体" w:hAnsi="宋体"/>
          <w:color w:val="000000" w:themeColor="text1"/>
          <w:sz w:val="24"/>
          <w:szCs w:val="24"/>
          <w:highlight w:val="none"/>
          <w14:textFill>
            <w14:solidFill>
              <w14:schemeClr w14:val="tx1"/>
            </w14:solidFill>
          </w14:textFill>
        </w:rPr>
        <w:t>。</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我方在此声明，所递交的</w:t>
      </w:r>
      <w:r>
        <w:rPr>
          <w:rFonts w:hint="eastAsia" w:ascii="宋体" w:hAnsi="宋体"/>
          <w:color w:val="000000" w:themeColor="text1"/>
          <w:sz w:val="24"/>
          <w:szCs w:val="24"/>
          <w:highlight w:val="none"/>
          <w14:textFill>
            <w14:solidFill>
              <w14:schemeClr w14:val="tx1"/>
            </w14:solidFill>
          </w14:textFill>
        </w:rPr>
        <w:t>磋商响应</w:t>
      </w:r>
      <w:r>
        <w:rPr>
          <w:rFonts w:ascii="宋体" w:hAnsi="宋体"/>
          <w:color w:val="000000" w:themeColor="text1"/>
          <w:sz w:val="24"/>
          <w:szCs w:val="24"/>
          <w:highlight w:val="none"/>
          <w14:textFill>
            <w14:solidFill>
              <w14:schemeClr w14:val="tx1"/>
            </w14:solidFill>
          </w14:textFill>
        </w:rPr>
        <w:t>文件及有关资料内容完整、真实和准确。</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、我方响应的磋商有效期为从竞争性磋商响应文件递交截止时间起</w:t>
      </w:r>
      <w:r>
        <w:rPr>
          <w:rFonts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个日历天。</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6</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在合同协议书正式签署生效之前，本</w:t>
      </w:r>
      <w:r>
        <w:rPr>
          <w:rFonts w:hint="eastAsia" w:ascii="宋体" w:hAnsi="宋体"/>
          <w:color w:val="000000" w:themeColor="text1"/>
          <w:sz w:val="24"/>
          <w:szCs w:val="24"/>
          <w:highlight w:val="none"/>
          <w14:textFill>
            <w14:solidFill>
              <w14:schemeClr w14:val="tx1"/>
            </w14:solidFill>
          </w14:textFill>
        </w:rPr>
        <w:t>磋商</w:t>
      </w:r>
      <w:r>
        <w:rPr>
          <w:rFonts w:ascii="宋体" w:hAnsi="宋体"/>
          <w:color w:val="000000" w:themeColor="text1"/>
          <w:sz w:val="24"/>
          <w:szCs w:val="24"/>
          <w:highlight w:val="none"/>
          <w14:textFill>
            <w14:solidFill>
              <w14:schemeClr w14:val="tx1"/>
            </w14:solidFill>
          </w14:textFill>
        </w:rPr>
        <w:t>函连同你方的成交通知书将构成我们双方之间共同遵守的文件，对双方具有约束力。</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7</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我方理解，你方不一定接受最低报价的磋商或你方接到的其他任何磋商。同时也理解，你方不负担我方的任何磋商费用。</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8</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（其他补充说明）。</w:t>
      </w:r>
    </w:p>
    <w:p>
      <w:pPr>
        <w:rPr>
          <w:color w:val="000000" w:themeColor="text1"/>
          <w:highlight w:val="none"/>
          <w14:textFill>
            <w14:solidFill>
              <w14:schemeClr w14:val="tx1"/>
            </w14:solidFill>
          </w14:textFill>
        </w:rPr>
      </w:pP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w:t>
      </w:r>
      <w:r>
        <w:rPr>
          <w:rFonts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（盖章）</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法定代表人或其委托代理人：</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（签字）</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地址：</w:t>
      </w:r>
      <w:r>
        <w:rPr>
          <w:rFonts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rPr>
          <w:rFonts w:ascii="宋体" w:hAnsi="宋体"/>
          <w:color w:val="000000" w:themeColor="text1"/>
          <w:sz w:val="24"/>
          <w:szCs w:val="24"/>
          <w:highlight w:val="none"/>
          <w:u w:val="singl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电话：</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　传真：</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　邮政编码：</w:t>
      </w:r>
      <w:r>
        <w:rPr>
          <w:rFonts w:ascii="宋体" w:hAnsi="宋体"/>
          <w:color w:val="000000" w:themeColor="text1"/>
          <w:sz w:val="24"/>
          <w:szCs w:val="24"/>
          <w:highlight w:val="none"/>
          <w:u w:val="single"/>
          <w14:textFill>
            <w14:solidFill>
              <w14:schemeClr w14:val="tx1"/>
            </w14:solidFill>
          </w14:textFill>
        </w:rPr>
        <w:t>　　　　　</w:t>
      </w:r>
    </w:p>
    <w:p>
      <w:pPr>
        <w:rPr>
          <w:color w:val="000000" w:themeColor="text1"/>
          <w:highlight w:val="none"/>
          <w14:textFill>
            <w14:solidFill>
              <w14:schemeClr w14:val="tx1"/>
            </w14:solidFill>
          </w14:textFill>
        </w:rPr>
      </w:pPr>
    </w:p>
    <w:p>
      <w:pPr>
        <w:spacing w:line="360" w:lineRule="auto"/>
        <w:jc w:val="right"/>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日</w:t>
      </w:r>
    </w:p>
    <w:p>
      <w:pPr>
        <w:spacing w:line="360" w:lineRule="auto"/>
        <w:ind w:firstLine="422" w:firstLineChars="200"/>
        <w:jc w:val="center"/>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br w:type="page"/>
      </w:r>
    </w:p>
    <w:p>
      <w:pPr>
        <w:pStyle w:val="4"/>
        <w:jc w:val="center"/>
        <w:rPr>
          <w:sz w:val="36"/>
          <w:szCs w:val="36"/>
          <w:highlight w:val="none"/>
        </w:rPr>
      </w:pPr>
      <w:bookmarkStart w:id="140" w:name="_Toc27731287"/>
      <w:bookmarkStart w:id="141" w:name="_Toc65158813"/>
      <w:bookmarkStart w:id="142" w:name="_Toc26947385"/>
      <w:bookmarkStart w:id="143" w:name="_Toc434831563"/>
      <w:r>
        <w:rPr>
          <w:rFonts w:hint="eastAsia"/>
          <w:sz w:val="36"/>
          <w:szCs w:val="36"/>
          <w:highlight w:val="none"/>
        </w:rPr>
        <w:t>报价</w:t>
      </w:r>
      <w:r>
        <w:rPr>
          <w:sz w:val="36"/>
          <w:szCs w:val="36"/>
          <w:highlight w:val="none"/>
        </w:rPr>
        <w:t>一览表</w:t>
      </w:r>
      <w:bookmarkEnd w:id="140"/>
      <w:bookmarkEnd w:id="141"/>
      <w:bookmarkEnd w:id="142"/>
    </w:p>
    <w:p>
      <w:pPr>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w:t>
      </w:r>
    </w:p>
    <w:p>
      <w:pPr>
        <w:adjustRightInd w:val="0"/>
        <w:snapToGrid w:val="0"/>
        <w:spacing w:line="360" w:lineRule="auto"/>
        <w:rPr>
          <w:rFonts w:ascii="宋体" w:hAnsi="宋体" w:eastAsia="宋体" w:cs="Times New Roman"/>
          <w:color w:val="000000" w:themeColor="text1"/>
          <w:sz w:val="24"/>
          <w:szCs w:val="21"/>
          <w:highlight w:val="none"/>
          <w14:textFill>
            <w14:solidFill>
              <w14:schemeClr w14:val="tx1"/>
            </w14:solidFill>
          </w14:textFill>
        </w:rPr>
      </w:pPr>
      <w:r>
        <w:rPr>
          <w:rFonts w:hint="eastAsia" w:ascii="宋体" w:hAnsi="宋体" w:eastAsia="宋体" w:cs="Times New Roman"/>
          <w:color w:val="000000" w:themeColor="text1"/>
          <w:sz w:val="24"/>
          <w:szCs w:val="21"/>
          <w:highlight w:val="none"/>
          <w14:textFill>
            <w14:solidFill>
              <w14:schemeClr w14:val="tx1"/>
            </w14:solidFill>
          </w14:textFill>
        </w:rPr>
        <w:t>项目编号：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w:t>
      </w:r>
      <w:r>
        <w:rPr>
          <w:rFonts w:hint="eastAsia" w:ascii="宋体" w:hAnsi="宋体" w:eastAsia="宋体" w:cs="Times New Roman"/>
          <w:color w:val="000000" w:themeColor="text1"/>
          <w:sz w:val="24"/>
          <w:szCs w:val="21"/>
          <w:highlight w:val="none"/>
          <w14:textFill>
            <w14:solidFill>
              <w14:schemeClr w14:val="tx1"/>
            </w14:solidFill>
          </w14:textFill>
        </w:rPr>
        <w:t>项目包号：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p>
    <w:tbl>
      <w:tblPr>
        <w:tblStyle w:val="32"/>
        <w:tblW w:w="8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2126"/>
        <w:gridCol w:w="5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9" w:type="dxa"/>
            <w:shd w:val="clear" w:color="auto" w:fill="BEBEBE" w:themeFill="background1" w:themeFillShade="BF"/>
            <w:vAlign w:val="center"/>
          </w:tcPr>
          <w:p>
            <w:pPr>
              <w:jc w:val="center"/>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序号</w:t>
            </w:r>
          </w:p>
        </w:tc>
        <w:tc>
          <w:tcPr>
            <w:tcW w:w="2126" w:type="dxa"/>
            <w:shd w:val="clear" w:color="auto" w:fill="BEBEBE" w:themeFill="background1" w:themeFillShade="BF"/>
            <w:vAlign w:val="center"/>
          </w:tcPr>
          <w:p>
            <w:pPr>
              <w:jc w:val="center"/>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名目</w:t>
            </w:r>
          </w:p>
        </w:tc>
        <w:tc>
          <w:tcPr>
            <w:tcW w:w="5775" w:type="dxa"/>
            <w:shd w:val="clear" w:color="auto" w:fill="BEBEBE" w:themeFill="background1" w:themeFillShade="BF"/>
            <w:vAlign w:val="center"/>
          </w:tcPr>
          <w:p>
            <w:pPr>
              <w:jc w:val="center"/>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9"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w:t>
            </w:r>
          </w:p>
        </w:tc>
        <w:tc>
          <w:tcPr>
            <w:tcW w:w="2126"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供应商</w:t>
            </w:r>
          </w:p>
        </w:tc>
        <w:tc>
          <w:tcPr>
            <w:tcW w:w="5775" w:type="dxa"/>
            <w:vAlign w:val="center"/>
          </w:tcPr>
          <w:p>
            <w:pPr>
              <w:jc w:val="center"/>
              <w:rPr>
                <w:rFonts w:ascii="宋体" w:hAnsi="宋体" w:eastAsia="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989"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2</w:t>
            </w:r>
          </w:p>
        </w:tc>
        <w:tc>
          <w:tcPr>
            <w:tcW w:w="2126" w:type="dxa"/>
            <w:vAlign w:val="center"/>
          </w:tcPr>
          <w:p>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sz w:val="24"/>
                <w:szCs w:val="24"/>
                <w:highlight w:val="none"/>
              </w:rPr>
              <w:t>磋商总报价</w:t>
            </w:r>
          </w:p>
        </w:tc>
        <w:tc>
          <w:tcPr>
            <w:tcW w:w="5775" w:type="dxa"/>
            <w:vAlign w:val="center"/>
          </w:tcPr>
          <w:p>
            <w:pPr>
              <w:widowControl/>
              <w:spacing w:line="360" w:lineRule="auto"/>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人民币小写：</w:t>
            </w:r>
          </w:p>
          <w:p>
            <w:pPr>
              <w:widowControl/>
              <w:jc w:val="lef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kern w:val="0"/>
                <w:sz w:val="24"/>
                <w:szCs w:val="24"/>
                <w:highlight w:val="none"/>
              </w:rPr>
              <w:t>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9"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3</w:t>
            </w:r>
          </w:p>
        </w:tc>
        <w:tc>
          <w:tcPr>
            <w:tcW w:w="2126" w:type="dxa"/>
            <w:vAlign w:val="center"/>
          </w:tcPr>
          <w:p>
            <w:pPr>
              <w:widowControl/>
              <w:jc w:val="center"/>
              <w:rPr>
                <w:sz w:val="24"/>
                <w:szCs w:val="24"/>
                <w:highlight w:val="none"/>
              </w:rPr>
            </w:pPr>
            <w:r>
              <w:rPr>
                <w:rFonts w:hint="eastAsia"/>
                <w:sz w:val="24"/>
                <w:szCs w:val="24"/>
                <w:highlight w:val="none"/>
              </w:rPr>
              <w:t>合同履行期限</w:t>
            </w:r>
          </w:p>
        </w:tc>
        <w:tc>
          <w:tcPr>
            <w:tcW w:w="5775" w:type="dxa"/>
            <w:vAlign w:val="center"/>
          </w:tcPr>
          <w:p>
            <w:pPr>
              <w:widowControl/>
              <w:spacing w:line="360" w:lineRule="auto"/>
              <w:jc w:val="center"/>
              <w:rPr>
                <w:sz w:val="24"/>
                <w:szCs w:val="24"/>
                <w:highlight w:val="none"/>
              </w:rPr>
            </w:pPr>
            <w:r>
              <w:rPr>
                <w:rFonts w:hint="eastAsia" w:ascii="宋体" w:hAnsi="宋体" w:cs="宋体"/>
                <w:color w:val="000000"/>
                <w:kern w:val="0"/>
                <w:sz w:val="24"/>
                <w:szCs w:val="24"/>
                <w:highlight w:val="none"/>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9"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ascii="宋体" w:hAnsi="宋体" w:eastAsia="宋体"/>
                <w:color w:val="000000" w:themeColor="text1"/>
                <w:sz w:val="24"/>
                <w:szCs w:val="24"/>
                <w:highlight w:val="none"/>
                <w14:textFill>
                  <w14:solidFill>
                    <w14:schemeClr w14:val="tx1"/>
                  </w14:solidFill>
                </w14:textFill>
              </w:rPr>
              <w:t>4</w:t>
            </w:r>
          </w:p>
        </w:tc>
        <w:tc>
          <w:tcPr>
            <w:tcW w:w="2126"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其他</w:t>
            </w:r>
          </w:p>
        </w:tc>
        <w:tc>
          <w:tcPr>
            <w:tcW w:w="5775" w:type="dxa"/>
            <w:vAlign w:val="center"/>
          </w:tcPr>
          <w:p>
            <w:pPr>
              <w:jc w:val="center"/>
              <w:rPr>
                <w:rFonts w:ascii="宋体" w:hAnsi="宋体" w:eastAsia="宋体"/>
                <w:color w:val="000000" w:themeColor="text1"/>
                <w:sz w:val="24"/>
                <w:szCs w:val="24"/>
                <w:highlight w:val="none"/>
                <w14:textFill>
                  <w14:solidFill>
                    <w14:schemeClr w14:val="tx1"/>
                  </w14:solidFill>
                </w14:textFill>
              </w:rPr>
            </w:pPr>
          </w:p>
        </w:tc>
      </w:tr>
    </w:tbl>
    <w:p>
      <w:pPr>
        <w:spacing w:line="36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注：1.</w:t>
      </w:r>
      <w:r>
        <w:rPr>
          <w:rFonts w:ascii="宋体" w:hAnsi="宋体" w:eastAsia="宋体"/>
          <w:color w:val="000000" w:themeColor="text1"/>
          <w:sz w:val="24"/>
          <w:szCs w:val="24"/>
          <w:highlight w:val="none"/>
          <w14:textFill>
            <w14:solidFill>
              <w14:schemeClr w14:val="tx1"/>
            </w14:solidFill>
          </w14:textFill>
        </w:rPr>
        <w:t>价格应按照“供应商须知”中</w:t>
      </w:r>
      <w:r>
        <w:rPr>
          <w:rFonts w:hint="eastAsia" w:ascii="宋体" w:hAnsi="宋体" w:eastAsia="宋体"/>
          <w:color w:val="000000" w:themeColor="text1"/>
          <w:sz w:val="24"/>
          <w:szCs w:val="24"/>
          <w:highlight w:val="none"/>
          <w14:textFill>
            <w14:solidFill>
              <w14:schemeClr w14:val="tx1"/>
            </w14:solidFill>
          </w14:textFill>
        </w:rPr>
        <w:t>磋商</w:t>
      </w:r>
      <w:r>
        <w:rPr>
          <w:rFonts w:ascii="宋体" w:hAnsi="宋体" w:eastAsia="宋体"/>
          <w:color w:val="000000" w:themeColor="text1"/>
          <w:sz w:val="24"/>
          <w:szCs w:val="24"/>
          <w:highlight w:val="none"/>
          <w14:textFill>
            <w14:solidFill>
              <w14:schemeClr w14:val="tx1"/>
            </w14:solidFill>
          </w14:textFill>
        </w:rPr>
        <w:t>报价条款的要求报价</w:t>
      </w:r>
      <w:r>
        <w:rPr>
          <w:rFonts w:hint="eastAsia" w:ascii="宋体" w:hAnsi="宋体" w:eastAsia="宋体"/>
          <w:color w:val="000000" w:themeColor="text1"/>
          <w:sz w:val="24"/>
          <w:szCs w:val="24"/>
          <w:highlight w:val="none"/>
          <w14:textFill>
            <w14:solidFill>
              <w14:schemeClr w14:val="tx1"/>
            </w14:solidFill>
          </w14:textFill>
        </w:rPr>
        <w:t>；</w:t>
      </w:r>
    </w:p>
    <w:p>
      <w:pPr>
        <w:spacing w:line="360" w:lineRule="auto"/>
        <w:ind w:firstLine="480" w:firstLineChars="200"/>
        <w:rPr>
          <w:rFonts w:ascii="宋体" w:hAnsi="宋体" w:eastAsia="宋体"/>
          <w:color w:val="000000" w:themeColor="text1"/>
          <w:sz w:val="24"/>
          <w:szCs w:val="24"/>
          <w:highlight w:val="none"/>
          <w14:textFill>
            <w14:solidFill>
              <w14:schemeClr w14:val="tx1"/>
            </w14:solidFill>
          </w14:textFill>
        </w:rPr>
      </w:pPr>
      <w:r>
        <w:rPr>
          <w:rFonts w:ascii="宋体" w:hAnsi="宋体" w:eastAsia="宋体"/>
          <w:color w:val="000000" w:themeColor="text1"/>
          <w:sz w:val="24"/>
          <w:szCs w:val="24"/>
          <w:highlight w:val="none"/>
          <w14:textFill>
            <w14:solidFill>
              <w14:schemeClr w14:val="tx1"/>
            </w14:solidFill>
          </w14:textFill>
        </w:rPr>
        <w:t>2</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所有价格均以人民币计算，单位为元，精确到小数点后第二</w:t>
      </w:r>
      <w:r>
        <w:rPr>
          <w:rFonts w:hint="eastAsia" w:ascii="宋体" w:hAnsi="宋体" w:eastAsia="宋体"/>
          <w:color w:val="000000" w:themeColor="text1"/>
          <w:sz w:val="24"/>
          <w:szCs w:val="24"/>
          <w:highlight w:val="none"/>
          <w14:textFill>
            <w14:solidFill>
              <w14:schemeClr w14:val="tx1"/>
            </w14:solidFill>
          </w14:textFill>
        </w:rPr>
        <w:t>位；</w:t>
      </w:r>
    </w:p>
    <w:p>
      <w:pPr>
        <w:spacing w:line="360" w:lineRule="auto"/>
        <w:ind w:firstLine="480" w:firstLineChars="200"/>
        <w:rPr>
          <w:rFonts w:ascii="宋体" w:hAnsi="宋体" w:eastAsia="宋体"/>
          <w:color w:val="000000" w:themeColor="text1"/>
          <w:sz w:val="24"/>
          <w:szCs w:val="24"/>
          <w:highlight w:val="none"/>
          <w14:textFill>
            <w14:solidFill>
              <w14:schemeClr w14:val="tx1"/>
            </w14:solidFill>
          </w14:textFill>
        </w:rPr>
      </w:pPr>
      <w:r>
        <w:rPr>
          <w:rFonts w:ascii="宋体" w:hAnsi="宋体" w:eastAsia="宋体"/>
          <w:color w:val="000000" w:themeColor="text1"/>
          <w:sz w:val="24"/>
          <w:szCs w:val="24"/>
          <w:highlight w:val="none"/>
          <w14:textFill>
            <w14:solidFill>
              <w14:schemeClr w14:val="tx1"/>
            </w14:solidFill>
          </w14:textFill>
        </w:rPr>
        <w:t>3.</w:t>
      </w:r>
      <w:r>
        <w:rPr>
          <w:rFonts w:hint="eastAsia" w:ascii="宋体" w:hAnsi="宋体" w:eastAsia="宋体"/>
          <w:color w:val="000000" w:themeColor="text1"/>
          <w:sz w:val="24"/>
          <w:szCs w:val="24"/>
          <w:highlight w:val="none"/>
          <w14:textFill>
            <w14:solidFill>
              <w14:schemeClr w14:val="tx1"/>
            </w14:solidFill>
          </w14:textFill>
        </w:rPr>
        <w:t>本表为磋商首次报价所用，不代表供应商最终报价。</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widowControl/>
        <w:jc w:val="left"/>
        <w:rPr>
          <w:rFonts w:ascii="Times New Roman" w:hAnsi="Times New Roman" w:eastAsia="黑体" w:cstheme="majorBidi"/>
          <w:bCs/>
          <w:color w:val="000000" w:themeColor="text1"/>
          <w:sz w:val="30"/>
          <w:szCs w:val="32"/>
          <w:highlight w:val="none"/>
          <w14:textFill>
            <w14:solidFill>
              <w14:schemeClr w14:val="tx1"/>
            </w14:solidFill>
          </w14:textFill>
        </w:rPr>
      </w:pPr>
      <w:r>
        <w:rPr>
          <w:color w:val="000000" w:themeColor="text1"/>
          <w:highlight w:val="none"/>
          <w14:textFill>
            <w14:solidFill>
              <w14:schemeClr w14:val="tx1"/>
            </w14:solidFill>
          </w14:textFill>
        </w:rPr>
        <w:br w:type="page"/>
      </w:r>
    </w:p>
    <w:bookmarkEnd w:id="143"/>
    <w:p>
      <w:pPr>
        <w:pStyle w:val="4"/>
        <w:jc w:val="center"/>
        <w:rPr>
          <w:sz w:val="36"/>
          <w:szCs w:val="36"/>
          <w:highlight w:val="none"/>
        </w:rPr>
      </w:pPr>
      <w:bookmarkStart w:id="144" w:name="_Toc65158814"/>
      <w:bookmarkStart w:id="145" w:name="_Toc38457868"/>
      <w:bookmarkStart w:id="146" w:name="_Toc64548577"/>
      <w:bookmarkStart w:id="147" w:name="_Toc8826"/>
      <w:bookmarkStart w:id="148" w:name="_Toc434831564"/>
      <w:bookmarkStart w:id="149" w:name="_Toc481092049"/>
      <w:bookmarkStart w:id="150" w:name="_Toc26947386"/>
      <w:bookmarkStart w:id="151" w:name="_Toc27731288"/>
      <w:bookmarkStart w:id="152" w:name="_Toc481155495"/>
      <w:bookmarkStart w:id="153" w:name="_Toc28888"/>
      <w:r>
        <w:rPr>
          <w:rFonts w:hint="eastAsia"/>
          <w:sz w:val="36"/>
          <w:szCs w:val="36"/>
          <w:highlight w:val="none"/>
        </w:rPr>
        <w:t>报价明细表</w:t>
      </w:r>
      <w:bookmarkEnd w:id="144"/>
      <w:bookmarkEnd w:id="145"/>
      <w:bookmarkEnd w:id="146"/>
    </w:p>
    <w:p>
      <w:pPr>
        <w:spacing w:line="360" w:lineRule="auto"/>
        <w:rPr>
          <w:rFonts w:asci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w:t>
      </w:r>
    </w:p>
    <w:p>
      <w:pPr>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项目包号：</w:t>
      </w:r>
      <w:r>
        <w:rPr>
          <w:rFonts w:hint="eastAsia" w:ascii="宋体" w:hAnsi="宋体"/>
          <w:color w:val="000000" w:themeColor="text1"/>
          <w:sz w:val="24"/>
          <w:highlight w:val="none"/>
          <w:u w:val="single"/>
          <w14:textFill>
            <w14:solidFill>
              <w14:schemeClr w14:val="tx1"/>
            </w14:solidFill>
          </w14:textFill>
        </w:rPr>
        <w:t>　　　　　　　　　　　　</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83"/>
        <w:gridCol w:w="1956"/>
        <w:gridCol w:w="2389"/>
        <w:gridCol w:w="779"/>
        <w:gridCol w:w="779"/>
        <w:gridCol w:w="779"/>
        <w:gridCol w:w="779"/>
        <w:gridCol w:w="77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tcBorders>
              <w:top w:val="single" w:color="auto" w:sz="4" w:space="0"/>
            </w:tcBorders>
            <w:shd w:val="clear" w:color="auto" w:fill="BEBEBE" w:themeFill="background1" w:themeFillShade="BF"/>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序号</w:t>
            </w:r>
          </w:p>
        </w:tc>
        <w:tc>
          <w:tcPr>
            <w:tcW w:w="1072" w:type="pct"/>
            <w:tcBorders>
              <w:top w:val="single" w:color="auto" w:sz="4" w:space="0"/>
            </w:tcBorders>
            <w:shd w:val="clear" w:color="auto" w:fill="BEBEBE" w:themeFill="background1" w:themeFillShade="BF"/>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名称</w:t>
            </w:r>
          </w:p>
        </w:tc>
        <w:tc>
          <w:tcPr>
            <w:tcW w:w="1310"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eastAsia="宋体"/>
                <w:sz w:val="24"/>
                <w:szCs w:val="24"/>
                <w:highlight w:val="none"/>
              </w:rPr>
              <w:t>主要技术响应内容</w:t>
            </w:r>
          </w:p>
        </w:tc>
        <w:tc>
          <w:tcPr>
            <w:tcW w:w="427"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数量</w:t>
            </w:r>
          </w:p>
        </w:tc>
        <w:tc>
          <w:tcPr>
            <w:tcW w:w="427" w:type="pct"/>
            <w:tcBorders>
              <w:top w:val="single" w:color="auto" w:sz="4" w:space="0"/>
            </w:tcBorders>
            <w:shd w:val="clear" w:color="auto" w:fill="BEBEBE" w:themeFill="background1" w:themeFillShade="BF"/>
            <w:vAlign w:val="center"/>
          </w:tcPr>
          <w:p>
            <w:pPr>
              <w:adjustRightInd w:val="0"/>
              <w:snapToGrid w:val="0"/>
              <w:jc w:val="center"/>
              <w:rPr>
                <w:rFonts w:ascii="宋体" w:hAnsi="宋体"/>
                <w:color w:val="000000"/>
                <w:sz w:val="24"/>
                <w:szCs w:val="24"/>
                <w:highlight w:val="none"/>
              </w:rPr>
            </w:pPr>
            <w:r>
              <w:rPr>
                <w:rFonts w:hint="eastAsia" w:ascii="宋体" w:hAnsi="宋体"/>
                <w:color w:val="000000"/>
                <w:sz w:val="24"/>
                <w:szCs w:val="24"/>
                <w:highlight w:val="none"/>
              </w:rPr>
              <w:t>单位</w:t>
            </w:r>
          </w:p>
        </w:tc>
        <w:tc>
          <w:tcPr>
            <w:tcW w:w="427"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单价</w:t>
            </w:r>
          </w:p>
        </w:tc>
        <w:tc>
          <w:tcPr>
            <w:tcW w:w="427"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eastAsia="宋体"/>
                <w:sz w:val="24"/>
                <w:szCs w:val="24"/>
                <w:highlight w:val="none"/>
              </w:rPr>
              <w:t>小计</w:t>
            </w:r>
          </w:p>
        </w:tc>
        <w:tc>
          <w:tcPr>
            <w:tcW w:w="425"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一</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服务名称</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1072" w:type="pct"/>
            <w:vAlign w:val="center"/>
          </w:tcPr>
          <w:p>
            <w:pPr>
              <w:adjustRightInd w:val="0"/>
              <w:snapToGrid w:val="0"/>
              <w:ind w:left="-88" w:leftChars="-42"/>
              <w:jc w:val="center"/>
              <w:rPr>
                <w:rFonts w:ascii="宋体" w:hAnsi="宋体"/>
                <w:color w:val="000000"/>
                <w:sz w:val="24"/>
                <w:szCs w:val="24"/>
                <w:highlight w:val="none"/>
              </w:rPr>
            </w:pP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1072" w:type="pct"/>
            <w:vAlign w:val="center"/>
          </w:tcPr>
          <w:p>
            <w:pPr>
              <w:adjustRightInd w:val="0"/>
              <w:snapToGrid w:val="0"/>
              <w:ind w:left="-88" w:leftChars="-42"/>
              <w:jc w:val="center"/>
              <w:rPr>
                <w:rFonts w:ascii="宋体" w:hAnsi="宋体"/>
                <w:color w:val="000000"/>
                <w:sz w:val="24"/>
                <w:szCs w:val="24"/>
                <w:highlight w:val="none"/>
              </w:rPr>
            </w:pP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1072" w:type="pct"/>
            <w:vAlign w:val="center"/>
          </w:tcPr>
          <w:p>
            <w:pPr>
              <w:adjustRightInd w:val="0"/>
              <w:snapToGrid w:val="0"/>
              <w:ind w:left="-88" w:leftChars="-42"/>
              <w:jc w:val="center"/>
              <w:rPr>
                <w:rFonts w:ascii="宋体" w:hAnsi="宋体"/>
                <w:color w:val="000000"/>
                <w:sz w:val="24"/>
                <w:szCs w:val="24"/>
                <w:highlight w:val="none"/>
              </w:rPr>
            </w:pP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w:t>
            </w:r>
          </w:p>
        </w:tc>
        <w:tc>
          <w:tcPr>
            <w:tcW w:w="1072"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p>
        </w:tc>
        <w:tc>
          <w:tcPr>
            <w:tcW w:w="1072"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合计</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二</w:t>
            </w:r>
          </w:p>
        </w:tc>
        <w:tc>
          <w:tcPr>
            <w:tcW w:w="1072"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其他费用</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运输费</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安装费</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color w:val="000000"/>
                <w:sz w:val="24"/>
                <w:szCs w:val="24"/>
                <w:highlight w:val="none"/>
              </w:rPr>
              <w:t>管理费</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4</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税金</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三</w:t>
            </w:r>
          </w:p>
        </w:tc>
        <w:tc>
          <w:tcPr>
            <w:tcW w:w="1072"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合计</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58" w:type="pct"/>
            <w:gridSpan w:val="2"/>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总计</w:t>
            </w:r>
          </w:p>
        </w:tc>
        <w:tc>
          <w:tcPr>
            <w:tcW w:w="3442" w:type="pct"/>
            <w:gridSpan w:val="6"/>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rPr>
              <w:t>人民币小写：</w:t>
            </w:r>
          </w:p>
          <w:p>
            <w:pPr>
              <w:adjustRightInd w:val="0"/>
              <w:snapToGrid w:val="0"/>
              <w:jc w:val="center"/>
              <w:rPr>
                <w:rFonts w:ascii="宋体"/>
                <w:color w:val="000000"/>
                <w:sz w:val="24"/>
                <w:szCs w:val="24"/>
                <w:highlight w:val="none"/>
              </w:rPr>
            </w:pPr>
            <w:r>
              <w:rPr>
                <w:rFonts w:hint="eastAsia" w:ascii="宋体"/>
                <w:color w:val="000000"/>
                <w:sz w:val="24"/>
                <w:szCs w:val="24"/>
                <w:highlight w:val="none"/>
              </w:rPr>
              <w:t>人民币大写：</w:t>
            </w:r>
          </w:p>
        </w:tc>
      </w:tr>
    </w:tbl>
    <w:p>
      <w:pPr>
        <w:adjustRightInd w:val="0"/>
        <w:snapToGrid w:val="0"/>
        <w:spacing w:line="360" w:lineRule="auto"/>
        <w:rPr>
          <w:rFonts w:ascii="宋体"/>
          <w:color w:val="000000"/>
          <w:sz w:val="24"/>
          <w:highlight w:val="none"/>
        </w:rPr>
      </w:pPr>
      <w:bookmarkStart w:id="154" w:name="_Toc511895477"/>
      <w:bookmarkStart w:id="155" w:name="_Toc511894536"/>
      <w:bookmarkStart w:id="156" w:name="_Toc2782609"/>
      <w:r>
        <w:rPr>
          <w:rFonts w:hint="eastAsia" w:ascii="宋体" w:hAnsi="宋体"/>
          <w:b/>
          <w:bCs/>
          <w:color w:val="000000"/>
          <w:sz w:val="24"/>
          <w:szCs w:val="24"/>
          <w:highlight w:val="none"/>
        </w:rPr>
        <w:t>说明：</w:t>
      </w:r>
      <w:r>
        <w:rPr>
          <w:rFonts w:ascii="宋体" w:hAnsi="宋体"/>
          <w:color w:val="000000"/>
          <w:sz w:val="24"/>
          <w:szCs w:val="24"/>
          <w:highlight w:val="none"/>
        </w:rPr>
        <w:t>1</w:t>
      </w:r>
      <w:r>
        <w:rPr>
          <w:rFonts w:hint="eastAsia" w:ascii="宋体" w:hAnsi="宋体"/>
          <w:color w:val="000000"/>
          <w:sz w:val="24"/>
          <w:szCs w:val="24"/>
          <w:highlight w:val="none"/>
        </w:rPr>
        <w:t>、</w:t>
      </w:r>
      <w:r>
        <w:rPr>
          <w:rFonts w:hint="eastAsia" w:ascii="宋体" w:hAnsi="宋体" w:cs="Courier New"/>
          <w:color w:val="0D0D0D" w:themeColor="text1" w:themeTint="F2"/>
          <w:sz w:val="24"/>
          <w:szCs w:val="21"/>
          <w:highlight w:val="none"/>
          <w14:textFill>
            <w14:solidFill>
              <w14:schemeClr w14:val="tx1">
                <w14:lumMod w14:val="95000"/>
                <w14:lumOff w14:val="5000"/>
              </w14:schemeClr>
            </w14:solidFill>
          </w14:textFill>
        </w:rPr>
        <w:t>所有</w:t>
      </w:r>
      <w:r>
        <w:rPr>
          <w:rFonts w:hint="eastAsia" w:ascii="宋体" w:hAnsi="宋体"/>
          <w:sz w:val="24"/>
          <w:highlight w:val="none"/>
        </w:rPr>
        <w:t>价</w:t>
      </w:r>
      <w:r>
        <w:rPr>
          <w:rFonts w:hint="eastAsia" w:ascii="宋体" w:hAnsi="宋体" w:cs="Courier New"/>
          <w:color w:val="0D0D0D" w:themeColor="text1" w:themeTint="F2"/>
          <w:sz w:val="24"/>
          <w:szCs w:val="21"/>
          <w:highlight w:val="none"/>
          <w14:textFill>
            <w14:solidFill>
              <w14:schemeClr w14:val="tx1">
                <w14:lumMod w14:val="95000"/>
                <w14:lumOff w14:val="5000"/>
              </w14:schemeClr>
            </w14:solidFill>
          </w14:textFill>
        </w:rPr>
        <w:t>格</w:t>
      </w:r>
      <w:r>
        <w:rPr>
          <w:rFonts w:hint="eastAsia" w:ascii="宋体" w:hAnsi="宋体"/>
          <w:sz w:val="24"/>
          <w:highlight w:val="none"/>
        </w:rPr>
        <w:t>均用人民币表示，单位为元，</w:t>
      </w:r>
      <w:r>
        <w:rPr>
          <w:rFonts w:hint="eastAsia" w:ascii="宋体" w:hAnsi="宋体"/>
          <w:color w:val="000000"/>
          <w:sz w:val="24"/>
          <w:szCs w:val="24"/>
          <w:highlight w:val="none"/>
        </w:rPr>
        <w:t>总计价格必须与报价一览表一致。</w:t>
      </w:r>
    </w:p>
    <w:p>
      <w:pPr>
        <w:adjustRightInd w:val="0"/>
        <w:snapToGrid w:val="0"/>
        <w:spacing w:line="360" w:lineRule="auto"/>
        <w:ind w:firstLine="720" w:firstLineChars="300"/>
        <w:rPr>
          <w:rFonts w:ascii="宋体"/>
          <w:color w:val="000000"/>
          <w:sz w:val="24"/>
          <w:highlight w:val="none"/>
        </w:rPr>
      </w:pPr>
      <w:r>
        <w:rPr>
          <w:rFonts w:ascii="宋体" w:hAnsi="宋体"/>
          <w:color w:val="000000"/>
          <w:sz w:val="24"/>
          <w:szCs w:val="24"/>
          <w:highlight w:val="none"/>
        </w:rPr>
        <w:t>2</w:t>
      </w:r>
      <w:r>
        <w:rPr>
          <w:rFonts w:hint="eastAsia" w:ascii="宋体" w:hAnsi="宋体"/>
          <w:color w:val="000000"/>
          <w:sz w:val="24"/>
          <w:szCs w:val="24"/>
          <w:highlight w:val="none"/>
        </w:rPr>
        <w:t>、如果不提供详细的分项报价表将被视为没有实质性响应</w:t>
      </w:r>
      <w:r>
        <w:rPr>
          <w:rFonts w:hint="eastAsia" w:ascii="宋体" w:hAnsi="宋体"/>
          <w:color w:val="000000"/>
          <w:sz w:val="24"/>
          <w:highlight w:val="none"/>
        </w:rPr>
        <w:t>磋商</w:t>
      </w:r>
      <w:r>
        <w:rPr>
          <w:rFonts w:hint="eastAsia" w:ascii="宋体" w:hAnsi="宋体"/>
          <w:color w:val="000000"/>
          <w:sz w:val="24"/>
          <w:szCs w:val="24"/>
          <w:highlight w:val="none"/>
        </w:rPr>
        <w:t>文件。</w:t>
      </w:r>
    </w:p>
    <w:p>
      <w:pPr>
        <w:adjustRightInd w:val="0"/>
        <w:snapToGrid w:val="0"/>
        <w:spacing w:line="360" w:lineRule="auto"/>
        <w:ind w:left="1080" w:leftChars="343" w:hanging="360" w:hangingChars="150"/>
        <w:rPr>
          <w:rFonts w:ascii="宋体"/>
          <w:color w:val="000000"/>
          <w:sz w:val="24"/>
          <w:szCs w:val="24"/>
          <w:highlight w:val="none"/>
        </w:rPr>
      </w:pPr>
      <w:r>
        <w:rPr>
          <w:rFonts w:ascii="宋体" w:hAnsi="宋体"/>
          <w:color w:val="000000"/>
          <w:sz w:val="24"/>
          <w:szCs w:val="24"/>
          <w:highlight w:val="none"/>
        </w:rPr>
        <w:t>3</w:t>
      </w:r>
      <w:r>
        <w:rPr>
          <w:rFonts w:hint="eastAsia" w:ascii="宋体" w:hAnsi="宋体"/>
          <w:color w:val="000000"/>
          <w:sz w:val="24"/>
          <w:szCs w:val="24"/>
          <w:highlight w:val="none"/>
        </w:rPr>
        <w:t>、“服务名称”栏根据项目具体采购情况自行增（减）行填写；若需增加栏目，请在</w:t>
      </w:r>
      <w:r>
        <w:rPr>
          <w:rFonts w:hint="eastAsia" w:ascii="宋体"/>
          <w:color w:val="000000"/>
          <w:sz w:val="24"/>
          <w:szCs w:val="24"/>
          <w:highlight w:val="none"/>
        </w:rPr>
        <w:t>“</w:t>
      </w:r>
      <w:r>
        <w:rPr>
          <w:rFonts w:hint="eastAsia" w:ascii="宋体" w:hAnsi="宋体"/>
          <w:color w:val="000000"/>
          <w:sz w:val="24"/>
          <w:szCs w:val="24"/>
          <w:highlight w:val="none"/>
        </w:rPr>
        <w:t>项目其他费用</w:t>
      </w:r>
      <w:r>
        <w:rPr>
          <w:rFonts w:hint="eastAsia" w:ascii="宋体"/>
          <w:color w:val="000000"/>
          <w:sz w:val="24"/>
          <w:szCs w:val="24"/>
          <w:highlight w:val="none"/>
        </w:rPr>
        <w:t>”</w:t>
      </w:r>
      <w:r>
        <w:rPr>
          <w:rFonts w:hint="eastAsia" w:ascii="宋体" w:hAnsi="宋体"/>
          <w:color w:val="000000"/>
          <w:sz w:val="24"/>
          <w:szCs w:val="24"/>
          <w:highlight w:val="none"/>
        </w:rPr>
        <w:t>的“税金”行后自行增行填写说明。</w:t>
      </w:r>
    </w:p>
    <w:p>
      <w:pPr>
        <w:rPr>
          <w:highlight w:val="none"/>
        </w:rPr>
      </w:pPr>
    </w:p>
    <w:p>
      <w:pPr>
        <w:rPr>
          <w:highlight w:val="none"/>
        </w:rPr>
      </w:pPr>
    </w:p>
    <w:p>
      <w:pPr>
        <w:spacing w:line="480" w:lineRule="auto"/>
        <w:ind w:firstLine="2880" w:firstLineChars="1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（公章）</w:t>
      </w:r>
    </w:p>
    <w:p>
      <w:pPr>
        <w:spacing w:line="480" w:lineRule="auto"/>
        <w:ind w:firstLine="2880" w:firstLineChars="1200"/>
        <w:rPr>
          <w:rFonts w:asci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（签字或盖章）</w:t>
      </w:r>
    </w:p>
    <w:p>
      <w:pPr>
        <w:spacing w:line="480" w:lineRule="auto"/>
        <w:ind w:firstLine="2880" w:firstLineChars="1200"/>
        <w:rPr>
          <w:rFonts w:ascii="Times New Roman" w:hAnsi="Times New Roman" w:eastAsia="黑体"/>
          <w:bCs/>
          <w:sz w:val="30"/>
          <w:szCs w:val="30"/>
          <w:highlight w:val="none"/>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bookmarkEnd w:id="154"/>
    <w:bookmarkEnd w:id="155"/>
    <w:bookmarkEnd w:id="156"/>
    <w:p>
      <w:pPr>
        <w:pStyle w:val="4"/>
        <w:jc w:val="center"/>
        <w:rPr>
          <w:sz w:val="36"/>
          <w:szCs w:val="36"/>
          <w:highlight w:val="none"/>
        </w:rPr>
      </w:pPr>
      <w:bookmarkStart w:id="157" w:name="_Toc65158815"/>
      <w:bookmarkStart w:id="158" w:name="_Hlk64619616"/>
      <w:r>
        <w:rPr>
          <w:sz w:val="36"/>
          <w:szCs w:val="36"/>
          <w:highlight w:val="none"/>
        </w:rPr>
        <w:t>法定代表人身份证明</w:t>
      </w:r>
      <w:bookmarkEnd w:id="147"/>
      <w:bookmarkEnd w:id="148"/>
      <w:r>
        <w:rPr>
          <w:sz w:val="36"/>
          <w:szCs w:val="36"/>
          <w:highlight w:val="none"/>
        </w:rPr>
        <w:t>书</w:t>
      </w:r>
      <w:bookmarkEnd w:id="149"/>
      <w:bookmarkEnd w:id="150"/>
      <w:bookmarkEnd w:id="151"/>
      <w:bookmarkEnd w:id="152"/>
      <w:bookmarkEnd w:id="157"/>
    </w:p>
    <w:p>
      <w:pPr>
        <w:rPr>
          <w:color w:val="000000" w:themeColor="text1"/>
          <w:highlight w:val="none"/>
          <w14:textFill>
            <w14:solidFill>
              <w14:schemeClr w14:val="tx1"/>
            </w14:solidFill>
          </w14:textFill>
        </w:rPr>
      </w:pPr>
    </w:p>
    <w:p>
      <w:pPr>
        <w:spacing w:line="360" w:lineRule="auto"/>
        <w:ind w:firstLine="480" w:firstLineChars="200"/>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单位名称：</w:t>
      </w:r>
      <w:r>
        <w:rPr>
          <w:rFonts w:hint="eastAsia"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单位性质：</w:t>
      </w:r>
      <w:r>
        <w:rPr>
          <w:rFonts w:hint="eastAsia"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地　　址：</w:t>
      </w:r>
      <w:r>
        <w:rPr>
          <w:rFonts w:hint="eastAsia"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成立时间：</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日</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经营期限：</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姓名：</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　性别：</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　年龄：</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　职务：</w:t>
      </w:r>
      <w:r>
        <w:rPr>
          <w:rFonts w:hint="eastAsia"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系</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的法定代表人。</w:t>
      </w:r>
    </w:p>
    <w:p>
      <w:pPr>
        <w:rPr>
          <w:color w:val="000000" w:themeColor="text1"/>
          <w:highlight w:val="none"/>
          <w14:textFill>
            <w14:solidFill>
              <w14:schemeClr w14:val="tx1"/>
            </w14:solidFill>
          </w14:textFill>
        </w:rPr>
      </w:pPr>
    </w:p>
    <w:p>
      <w:pPr>
        <w:spacing w:line="360" w:lineRule="auto"/>
        <w:ind w:firstLine="480" w:firstLineChars="200"/>
        <w:jc w:val="left"/>
        <w:rPr>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特此证明。</w:t>
      </w:r>
    </w:p>
    <w:p>
      <w:pPr>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证明日期：</w:t>
      </w:r>
      <w:r>
        <w:rPr>
          <w:rFonts w:hint="eastAsia"/>
          <w:color w:val="000000" w:themeColor="text1"/>
          <w:sz w:val="24"/>
          <w:szCs w:val="24"/>
          <w:highlight w:val="none"/>
          <w:u w:val="thick"/>
          <w14:textFill>
            <w14:solidFill>
              <w14:schemeClr w14:val="tx1"/>
            </w14:solidFill>
          </w14:textFill>
        </w:rPr>
        <w:t>　　　</w:t>
      </w:r>
      <w:r>
        <w:rPr>
          <w:rFonts w:hint="eastAsia"/>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thick"/>
          <w14:textFill>
            <w14:solidFill>
              <w14:schemeClr w14:val="tx1"/>
            </w14:solidFill>
          </w14:textFill>
        </w:rPr>
        <w:t>　　</w:t>
      </w:r>
      <w:r>
        <w:rPr>
          <w:rFonts w:hint="eastAsia"/>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thick"/>
          <w14:textFill>
            <w14:solidFill>
              <w14:schemeClr w14:val="tx1"/>
            </w14:solidFill>
          </w14:textFill>
        </w:rPr>
        <w:t>　　</w:t>
      </w:r>
      <w:r>
        <w:rPr>
          <w:rFonts w:hint="eastAsia"/>
          <w:color w:val="000000" w:themeColor="text1"/>
          <w:sz w:val="24"/>
          <w:szCs w:val="24"/>
          <w:highlight w:val="none"/>
          <w14:textFill>
            <w14:solidFill>
              <w14:schemeClr w14:val="tx1"/>
            </w14:solidFill>
          </w14:textFill>
        </w:rPr>
        <w:t>日</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jc w:val="center"/>
        <w:rPr>
          <w:rFonts w:ascii="Times New Roman" w:hAnsi="Times New Roman" w:eastAsia="黑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inline distT="0" distB="0" distL="0" distR="0">
                <wp:extent cx="3081655" cy="1943735"/>
                <wp:effectExtent l="14605" t="12700" r="8890" b="15240"/>
                <wp:docPr id="4" name="圆角矩形 2"/>
                <wp:cNvGraphicFramePr/>
                <a:graphic xmlns:a="http://schemas.openxmlformats.org/drawingml/2006/main">
                  <a:graphicData uri="http://schemas.microsoft.com/office/word/2010/wordprocessingShape">
                    <wps:wsp>
                      <wps:cNvSpPr>
                        <a:spLocks noChangeArrowheads="1"/>
                      </wps:cNvSpPr>
                      <wps:spPr bwMode="auto">
                        <a:xfrm>
                          <a:off x="0" y="0"/>
                          <a:ext cx="3081655" cy="1943735"/>
                        </a:xfrm>
                        <a:prstGeom prst="roundRect">
                          <a:avLst>
                            <a:gd name="adj" fmla="val 16667"/>
                          </a:avLst>
                        </a:prstGeom>
                        <a:solidFill>
                          <a:srgbClr val="FFFFFF"/>
                        </a:solidFill>
                        <a:ln w="12700">
                          <a:solidFill>
                            <a:srgbClr val="000000"/>
                          </a:solidFill>
                          <a:prstDash val="sysDot"/>
                          <a:bevel/>
                        </a:ln>
                      </wps:spPr>
                      <wps:txbx>
                        <w:txbxContent>
                          <w:p>
                            <w:pPr>
                              <w:jc w:val="center"/>
                              <w:rPr>
                                <w:sz w:val="24"/>
                                <w:szCs w:val="24"/>
                              </w:rPr>
                            </w:pPr>
                            <w:r>
                              <w:rPr>
                                <w:rFonts w:hint="eastAsia"/>
                                <w:sz w:val="24"/>
                                <w:szCs w:val="24"/>
                              </w:rPr>
                              <w:t>法定代表人身份证正面复印件</w:t>
                            </w:r>
                          </w:p>
                        </w:txbxContent>
                      </wps:txbx>
                      <wps:bodyPr rot="0" vert="horz" wrap="square" lIns="91440" tIns="792000" rIns="91440" bIns="45720" anchor="t" anchorCtr="0" upright="1">
                        <a:noAutofit/>
                      </wps:bodyPr>
                    </wps:wsp>
                  </a:graphicData>
                </a:graphic>
              </wp:inline>
            </w:drawing>
          </mc:Choice>
          <mc:Fallback>
            <w:pict>
              <v:roundrect id="圆角矩形 2" o:spid="_x0000_s1026" o:spt="2" style="height:153.05pt;width:242.65pt;" fillcolor="#FFFFFF" filled="t" stroked="t" coordsize="21600,21600" arcsize="0.166666666666667" o:gfxdata="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NxNEA1gAAAAUBAAAPAAAAAAAAAAEAIAAAACIAAABkcnMvZG93bnJldi54&#10;bWxQSwECFAAUAAAACACHTuJAxtHAHG4CAADBBAAADgAAAAAAAAABACAAAAAlAQAAZHJzL2Uyb0Rv&#10;Yy54bWxQSwUGAAAAAAYABgBZAQAABQYAAAAA&#10;">
                <v:fill on="t" focussize="0,0"/>
                <v:stroke weight="1pt" color="#000000" joinstyle="bevel" dashstyle="1 1"/>
                <v:imagedata o:title=""/>
                <o:lock v:ext="edit" aspectratio="f"/>
                <v:textbox inset="2.54mm,22mm,2.54mm,1.27mm">
                  <w:txbxContent>
                    <w:p>
                      <w:pPr>
                        <w:jc w:val="center"/>
                        <w:rPr>
                          <w:sz w:val="24"/>
                          <w:szCs w:val="24"/>
                        </w:rPr>
                      </w:pPr>
                      <w:r>
                        <w:rPr>
                          <w:rFonts w:hint="eastAsia"/>
                          <w:sz w:val="24"/>
                          <w:szCs w:val="24"/>
                        </w:rPr>
                        <w:t>法定代表人身份证正面复印件</w:t>
                      </w:r>
                    </w:p>
                  </w:txbxContent>
                </v:textbox>
                <w10:wrap type="none"/>
                <w10:anchorlock/>
              </v:roundrect>
            </w:pict>
          </mc:Fallback>
        </mc:AlternateContent>
      </w:r>
      <w:r>
        <w:rPr>
          <w:color w:val="000000" w:themeColor="text1"/>
          <w:highlight w:val="none"/>
          <w14:textFill>
            <w14:solidFill>
              <w14:schemeClr w14:val="tx1"/>
            </w14:solidFill>
          </w14:textFill>
        </w:rPr>
        <mc:AlternateContent>
          <mc:Choice Requires="wps">
            <w:drawing>
              <wp:inline distT="0" distB="0" distL="0" distR="0">
                <wp:extent cx="3081655" cy="1943735"/>
                <wp:effectExtent l="14605" t="12700" r="8890" b="15240"/>
                <wp:docPr id="1" name="圆角矩形 2"/>
                <wp:cNvGraphicFramePr/>
                <a:graphic xmlns:a="http://schemas.openxmlformats.org/drawingml/2006/main">
                  <a:graphicData uri="http://schemas.microsoft.com/office/word/2010/wordprocessingShape">
                    <wps:wsp>
                      <wps:cNvSpPr>
                        <a:spLocks noChangeArrowheads="1"/>
                      </wps:cNvSpPr>
                      <wps:spPr bwMode="auto">
                        <a:xfrm>
                          <a:off x="0" y="0"/>
                          <a:ext cx="3081655" cy="1943735"/>
                        </a:xfrm>
                        <a:prstGeom prst="roundRect">
                          <a:avLst>
                            <a:gd name="adj" fmla="val 16667"/>
                          </a:avLst>
                        </a:prstGeom>
                        <a:solidFill>
                          <a:srgbClr val="FFFFFF"/>
                        </a:solidFill>
                        <a:ln w="12700">
                          <a:solidFill>
                            <a:srgbClr val="000000"/>
                          </a:solidFill>
                          <a:prstDash val="sysDot"/>
                          <a:bevel/>
                        </a:ln>
                      </wps:spPr>
                      <wps:txbx>
                        <w:txbxContent>
                          <w:p>
                            <w:pPr>
                              <w:jc w:val="center"/>
                              <w:rPr>
                                <w:sz w:val="24"/>
                                <w:szCs w:val="24"/>
                              </w:rPr>
                            </w:pPr>
                            <w:r>
                              <w:rPr>
                                <w:rFonts w:hint="eastAsia"/>
                                <w:sz w:val="24"/>
                                <w:szCs w:val="24"/>
                              </w:rPr>
                              <w:t>法定代表人身份证反面复印件</w:t>
                            </w:r>
                          </w:p>
                        </w:txbxContent>
                      </wps:txbx>
                      <wps:bodyPr rot="0" vert="horz" wrap="square" lIns="91440" tIns="792000" rIns="91440" bIns="45720" anchor="t" anchorCtr="0" upright="1">
                        <a:noAutofit/>
                      </wps:bodyPr>
                    </wps:wsp>
                  </a:graphicData>
                </a:graphic>
              </wp:inline>
            </w:drawing>
          </mc:Choice>
          <mc:Fallback>
            <w:pict>
              <v:roundrect id="圆角矩形 2" o:spid="_x0000_s1026" o:spt="2" style="height:153.05pt;width:242.65pt;" fillcolor="#FFFFFF" filled="t" stroked="t" coordsize="21600,21600" arcsize="0.166666666666667" o:gfxdata="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NxNEA1gAAAAUBAAAPAAAAAAAAAAEAIAAAACIAAABkcnMvZG93bnJldi54&#10;bWxQSwECFAAUAAAACACHTuJAt4QAcm4CAADBBAAADgAAAAAAAAABACAAAAAlAQAAZHJzL2Uyb0Rv&#10;Yy54bWxQSwUGAAAAAAYABgBZAQAABQYAAAAA&#10;">
                <v:fill on="t" focussize="0,0"/>
                <v:stroke weight="1pt" color="#000000" joinstyle="bevel" dashstyle="1 1"/>
                <v:imagedata o:title=""/>
                <o:lock v:ext="edit" aspectratio="f"/>
                <v:textbox inset="2.54mm,22mm,2.54mm,1.27mm">
                  <w:txbxContent>
                    <w:p>
                      <w:pPr>
                        <w:jc w:val="center"/>
                        <w:rPr>
                          <w:sz w:val="24"/>
                          <w:szCs w:val="24"/>
                        </w:rPr>
                      </w:pPr>
                      <w:r>
                        <w:rPr>
                          <w:rFonts w:hint="eastAsia"/>
                          <w:sz w:val="24"/>
                          <w:szCs w:val="24"/>
                        </w:rPr>
                        <w:t>法定代表人身份证反面复印件</w:t>
                      </w:r>
                    </w:p>
                  </w:txbxContent>
                </v:textbox>
                <w10:wrap type="none"/>
                <w10:anchorlock/>
              </v:roundrect>
            </w:pict>
          </mc:Fallback>
        </mc:AlternateContent>
      </w:r>
    </w:p>
    <w:p>
      <w:pPr>
        <w:pStyle w:val="4"/>
        <w:jc w:val="center"/>
        <w:rPr>
          <w:sz w:val="36"/>
          <w:szCs w:val="36"/>
          <w:highlight w:val="none"/>
        </w:rPr>
      </w:pPr>
      <w:bookmarkStart w:id="159" w:name="_Toc434831565"/>
      <w:bookmarkStart w:id="160" w:name="_Toc29971"/>
      <w:r>
        <w:rPr>
          <w:color w:val="000000" w:themeColor="text1"/>
          <w:szCs w:val="24"/>
          <w:highlight w:val="none"/>
          <w14:textFill>
            <w14:solidFill>
              <w14:schemeClr w14:val="tx1"/>
            </w14:solidFill>
          </w14:textFill>
        </w:rPr>
        <w:br w:type="page"/>
      </w:r>
      <w:bookmarkStart w:id="161" w:name="_Toc26947387"/>
      <w:bookmarkStart w:id="162" w:name="_Toc481155496"/>
      <w:bookmarkStart w:id="163" w:name="_Toc481092050"/>
      <w:bookmarkStart w:id="164" w:name="_Toc65158816"/>
      <w:bookmarkStart w:id="165" w:name="_Toc27731289"/>
      <w:r>
        <w:rPr>
          <w:rFonts w:hint="eastAsia"/>
          <w:sz w:val="36"/>
          <w:szCs w:val="36"/>
          <w:highlight w:val="none"/>
        </w:rPr>
        <w:t>法定</w:t>
      </w:r>
      <w:r>
        <w:rPr>
          <w:sz w:val="36"/>
          <w:szCs w:val="36"/>
          <w:highlight w:val="none"/>
        </w:rPr>
        <w:t>代表人授权委托书</w:t>
      </w:r>
      <w:bookmarkEnd w:id="159"/>
      <w:bookmarkEnd w:id="160"/>
      <w:bookmarkEnd w:id="161"/>
      <w:bookmarkEnd w:id="162"/>
      <w:bookmarkEnd w:id="163"/>
      <w:bookmarkEnd w:id="164"/>
      <w:bookmarkEnd w:id="165"/>
    </w:p>
    <w:p>
      <w:pPr>
        <w:spacing w:line="360" w:lineRule="auto"/>
        <w:rPr>
          <w:rFonts w:ascii="宋体" w:hAnsi="宋体"/>
          <w:color w:val="000000" w:themeColor="text1"/>
          <w:sz w:val="24"/>
          <w:szCs w:val="24"/>
          <w:highlight w:val="none"/>
          <w14:textFill>
            <w14:solidFill>
              <w14:schemeClr w14:val="tx1"/>
            </w14:solidFill>
          </w14:textFill>
        </w:rPr>
      </w:pPr>
      <w:bookmarkStart w:id="166" w:name="_Hlk64619587"/>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采购人</w:t>
      </w:r>
      <w:r>
        <w:rPr>
          <w:rFonts w:ascii="宋体" w:hAnsi="宋体"/>
          <w:color w:val="000000" w:themeColor="text1"/>
          <w:sz w:val="24"/>
          <w:szCs w:val="24"/>
          <w:highlight w:val="none"/>
          <w14:textFill>
            <w14:solidFill>
              <w14:schemeClr w14:val="tx1"/>
            </w14:solidFill>
          </w14:textFill>
        </w:rPr>
        <w:t>名称）：</w:t>
      </w:r>
    </w:p>
    <w:bookmarkEnd w:id="166"/>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兹授权</w:t>
      </w:r>
      <w:r>
        <w:rPr>
          <w:rFonts w:hint="eastAsia" w:ascii="宋体" w:hAnsi="宋体"/>
          <w:color w:val="000000" w:themeColor="text1"/>
          <w:sz w:val="24"/>
          <w:highlight w:val="none"/>
          <w:u w:val="single"/>
          <w14:textFill>
            <w14:solidFill>
              <w14:schemeClr w14:val="tx1"/>
            </w14:solidFill>
          </w14:textFill>
        </w:rPr>
        <w:t>（</w:t>
      </w:r>
      <w:r>
        <w:rPr>
          <w:rFonts w:hint="eastAsia" w:hAnsi="宋体"/>
          <w:color w:val="000000" w:themeColor="text1"/>
          <w:sz w:val="24"/>
          <w:szCs w:val="24"/>
          <w:highlight w:val="none"/>
          <w:u w:val="single"/>
          <w14:textFill>
            <w14:solidFill>
              <w14:schemeClr w14:val="tx1"/>
            </w14:solidFill>
          </w14:textFill>
        </w:rPr>
        <w:t>姓名、职务</w:t>
      </w:r>
      <w:r>
        <w:rPr>
          <w:rFonts w:hint="eastAsia" w:ascii="宋体" w:hAnsi="宋体"/>
          <w:color w:val="000000" w:themeColor="text1"/>
          <w:sz w:val="24"/>
          <w:highlight w:val="none"/>
          <w:u w:val="single"/>
          <w14:textFill>
            <w14:solidFill>
              <w14:schemeClr w14:val="tx1"/>
            </w14:solidFill>
          </w14:textFill>
        </w:rPr>
        <w:t>）</w:t>
      </w:r>
      <w:r>
        <w:rPr>
          <w:rFonts w:asciiTheme="minorEastAsia" w:hAnsiTheme="minorEastAsia"/>
          <w:color w:val="000000" w:themeColor="text1"/>
          <w:sz w:val="24"/>
          <w:szCs w:val="24"/>
          <w:highlight w:val="none"/>
          <w14:textFill>
            <w14:solidFill>
              <w14:schemeClr w14:val="tx1"/>
            </w14:solidFill>
          </w14:textFill>
        </w:rPr>
        <w:t>同志为我公司参加贵单位组织的</w:t>
      </w:r>
      <w:r>
        <w:rPr>
          <w:rFonts w:ascii="宋体" w:hAnsi="宋体"/>
          <w:color w:val="000000" w:themeColor="text1"/>
          <w:sz w:val="24"/>
          <w:szCs w:val="24"/>
          <w:highlight w:val="none"/>
          <w:u w:val="single"/>
          <w14:textFill>
            <w14:solidFill>
              <w14:schemeClr w14:val="tx1"/>
            </w14:solidFill>
          </w14:textFill>
        </w:rPr>
        <w:t>（项目名称</w:t>
      </w:r>
      <w:r>
        <w:rPr>
          <w:rFonts w:hint="eastAsia" w:ascii="宋体" w:hAnsi="宋体"/>
          <w:color w:val="000000" w:themeColor="text1"/>
          <w:sz w:val="24"/>
          <w:szCs w:val="24"/>
          <w:highlight w:val="none"/>
          <w:u w:val="single"/>
          <w14:textFill>
            <w14:solidFill>
              <w14:schemeClr w14:val="tx1"/>
            </w14:solidFill>
          </w14:textFill>
        </w:rPr>
        <w:t>、</w:t>
      </w:r>
      <w:r>
        <w:rPr>
          <w:rFonts w:ascii="宋体" w:hAnsi="宋体"/>
          <w:color w:val="000000" w:themeColor="text1"/>
          <w:sz w:val="24"/>
          <w:szCs w:val="24"/>
          <w:highlight w:val="none"/>
          <w:u w:val="single"/>
          <w14:textFill>
            <w14:solidFill>
              <w14:schemeClr w14:val="tx1"/>
            </w14:solidFill>
          </w14:textFill>
        </w:rPr>
        <w:t>项目</w:t>
      </w:r>
      <w:r>
        <w:rPr>
          <w:rFonts w:hint="eastAsia" w:ascii="宋体" w:hAnsi="宋体"/>
          <w:color w:val="000000" w:themeColor="text1"/>
          <w:sz w:val="24"/>
          <w:szCs w:val="24"/>
          <w:highlight w:val="none"/>
          <w:u w:val="single"/>
          <w14:textFill>
            <w14:solidFill>
              <w14:schemeClr w14:val="tx1"/>
            </w14:solidFill>
          </w14:textFill>
        </w:rPr>
        <w:t>编号、项目包号</w:t>
      </w:r>
      <w:r>
        <w:rPr>
          <w:rFonts w:ascii="宋体" w:hAnsi="宋体"/>
          <w:color w:val="000000" w:themeColor="text1"/>
          <w:sz w:val="24"/>
          <w:szCs w:val="24"/>
          <w:highlight w:val="none"/>
          <w:u w:val="single"/>
          <w14:textFill>
            <w14:solidFill>
              <w14:schemeClr w14:val="tx1"/>
            </w14:solidFill>
          </w14:textFill>
        </w:rPr>
        <w:t>）</w:t>
      </w:r>
      <w:r>
        <w:rPr>
          <w:rFonts w:asciiTheme="minorEastAsia" w:hAnsiTheme="minorEastAsia"/>
          <w:color w:val="000000" w:themeColor="text1"/>
          <w:kern w:val="0"/>
          <w:sz w:val="24"/>
          <w:szCs w:val="24"/>
          <w:highlight w:val="none"/>
          <w14:textFill>
            <w14:solidFill>
              <w14:schemeClr w14:val="tx1"/>
            </w14:solidFill>
          </w14:textFill>
        </w:rPr>
        <w:t>项目磋商采购服务</w:t>
      </w:r>
      <w:r>
        <w:rPr>
          <w:rFonts w:asciiTheme="minorEastAsia" w:hAnsiTheme="minorEastAsia"/>
          <w:color w:val="000000" w:themeColor="text1"/>
          <w:sz w:val="24"/>
          <w:szCs w:val="24"/>
          <w:highlight w:val="none"/>
          <w14:textFill>
            <w14:solidFill>
              <w14:schemeClr w14:val="tx1"/>
            </w14:solidFill>
          </w14:textFill>
        </w:rPr>
        <w:t>活动的委托代理人，全权代表我公司处理在该项目采购活动中的一切事宜。</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代理期限</w:t>
      </w:r>
      <w:r>
        <w:rPr>
          <w:rFonts w:hint="eastAsia" w:asciiTheme="minorEastAsia" w:hAnsiTheme="minorEastAsia"/>
          <w:color w:val="000000" w:themeColor="text1"/>
          <w:sz w:val="24"/>
          <w:szCs w:val="24"/>
          <w:highlight w:val="none"/>
          <w14:textFill>
            <w14:solidFill>
              <w14:schemeClr w14:val="tx1"/>
            </w14:solidFill>
          </w14:textFill>
        </w:rPr>
        <w:t>：</w:t>
      </w:r>
      <w:r>
        <w:rPr>
          <w:rFonts w:asciiTheme="minorEastAsia" w:hAnsiTheme="minorEastAsia"/>
          <w:color w:val="000000" w:themeColor="text1"/>
          <w:sz w:val="24"/>
          <w:szCs w:val="24"/>
          <w:highlight w:val="none"/>
          <w14:textFill>
            <w14:solidFill>
              <w14:schemeClr w14:val="tx1"/>
            </w14:solidFill>
          </w14:textFill>
        </w:rPr>
        <w:t>从</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年</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月</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日起至</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年</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月</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日止。</w:t>
      </w:r>
    </w:p>
    <w:p>
      <w:pPr>
        <w:rPr>
          <w:color w:val="000000" w:themeColor="text1"/>
          <w:szCs w:val="21"/>
          <w:highlight w:val="none"/>
          <w14:textFill>
            <w14:solidFill>
              <w14:schemeClr w14:val="tx1"/>
            </w14:solidFill>
          </w14:textFill>
        </w:rPr>
      </w:pP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授权单位：</w:t>
      </w:r>
      <w:r>
        <w:rPr>
          <w:rFonts w:asciiTheme="minorEastAsia" w:hAnsiTheme="minorEastAsia"/>
          <w:color w:val="000000" w:themeColor="text1"/>
          <w:sz w:val="24"/>
          <w:szCs w:val="24"/>
          <w:highlight w:val="none"/>
          <w:u w:val="single"/>
          <w14:textFill>
            <w14:solidFill>
              <w14:schemeClr w14:val="tx1"/>
            </w14:solidFill>
          </w14:textFill>
        </w:rPr>
        <w:t>　　　</w:t>
      </w:r>
      <w:r>
        <w:rPr>
          <w:rFonts w:hint="eastAsia"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w:t>
      </w:r>
      <w:r>
        <w:rPr>
          <w:rFonts w:hint="eastAsia" w:asciiTheme="minorEastAsia" w:hAnsiTheme="minorEastAsia"/>
          <w:color w:val="000000" w:themeColor="text1"/>
          <w:sz w:val="24"/>
          <w:szCs w:val="24"/>
          <w:highlight w:val="none"/>
          <w14:textFill>
            <w14:solidFill>
              <w14:schemeClr w14:val="tx1"/>
            </w14:solidFill>
          </w14:textFill>
        </w:rPr>
        <w:t>公</w:t>
      </w:r>
      <w:r>
        <w:rPr>
          <w:rFonts w:asciiTheme="minorEastAsia" w:hAnsiTheme="minorEastAsia"/>
          <w:color w:val="000000" w:themeColor="text1"/>
          <w:sz w:val="24"/>
          <w:szCs w:val="24"/>
          <w:highlight w:val="none"/>
          <w14:textFill>
            <w14:solidFill>
              <w14:schemeClr w14:val="tx1"/>
            </w14:solidFill>
          </w14:textFill>
        </w:rPr>
        <w:t>章）</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法定代表人：</w:t>
      </w:r>
      <w:r>
        <w:rPr>
          <w:rFonts w:asciiTheme="minorEastAsia" w:hAnsiTheme="minorEastAsia"/>
          <w:color w:val="000000" w:themeColor="text1"/>
          <w:sz w:val="24"/>
          <w:szCs w:val="24"/>
          <w:highlight w:val="none"/>
          <w:u w:val="single"/>
          <w14:textFill>
            <w14:solidFill>
              <w14:schemeClr w14:val="tx1"/>
            </w14:solidFill>
          </w14:textFill>
        </w:rPr>
        <w:t>　　</w:t>
      </w:r>
      <w:r>
        <w:rPr>
          <w:rFonts w:hint="eastAsia"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（签字或盖章）</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签发日期：</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年</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月</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日</w:t>
      </w:r>
    </w:p>
    <w:p>
      <w:pPr>
        <w:rPr>
          <w:color w:val="000000" w:themeColor="text1"/>
          <w:szCs w:val="21"/>
          <w:highlight w:val="none"/>
          <w14:textFill>
            <w14:solidFill>
              <w14:schemeClr w14:val="tx1"/>
            </w14:solidFill>
          </w14:textFill>
        </w:rPr>
      </w:pP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附：</w:t>
      </w:r>
      <w:r>
        <w:rPr>
          <w:rFonts w:hint="eastAsia" w:asciiTheme="minorEastAsia" w:hAnsiTheme="minorEastAsia"/>
          <w:color w:val="000000" w:themeColor="text1"/>
          <w:sz w:val="24"/>
          <w:szCs w:val="24"/>
          <w:highlight w:val="none"/>
          <w14:textFill>
            <w14:solidFill>
              <w14:schemeClr w14:val="tx1"/>
            </w14:solidFill>
          </w14:textFill>
        </w:rPr>
        <w:t>委托</w:t>
      </w:r>
      <w:r>
        <w:rPr>
          <w:rFonts w:asciiTheme="minorEastAsia" w:hAnsiTheme="minorEastAsia"/>
          <w:color w:val="000000" w:themeColor="text1"/>
          <w:sz w:val="24"/>
          <w:szCs w:val="24"/>
          <w:highlight w:val="none"/>
          <w14:textFill>
            <w14:solidFill>
              <w14:schemeClr w14:val="tx1"/>
            </w14:solidFill>
          </w14:textFill>
        </w:rPr>
        <w:t>代理人：</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（签字或盖章）</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工作单位：</w:t>
      </w:r>
      <w:r>
        <w:rPr>
          <w:rFonts w:asciiTheme="minorEastAsia" w:hAnsiTheme="minorEastAsia"/>
          <w:color w:val="000000" w:themeColor="text1"/>
          <w:sz w:val="24"/>
          <w:szCs w:val="24"/>
          <w:highlight w:val="none"/>
          <w:u w:val="single"/>
          <w14:textFill>
            <w14:solidFill>
              <w14:schemeClr w14:val="tx1"/>
            </w14:solidFill>
          </w14:textFill>
        </w:rPr>
        <w:t>　　　　　　　　　　　　　　　　　　　　　</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职务：</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　　性别：</w:t>
      </w:r>
      <w:r>
        <w:rPr>
          <w:rFonts w:asciiTheme="minorEastAsia" w:hAnsiTheme="minorEastAsia"/>
          <w:color w:val="000000" w:themeColor="text1"/>
          <w:sz w:val="24"/>
          <w:szCs w:val="24"/>
          <w:highlight w:val="none"/>
          <w:u w:val="single"/>
          <w14:textFill>
            <w14:solidFill>
              <w14:schemeClr w14:val="tx1"/>
            </w14:solidFill>
          </w14:textFill>
        </w:rPr>
        <w:t>　　　　　　　　</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身份证号码：</w:t>
      </w:r>
      <w:r>
        <w:rPr>
          <w:rFonts w:asciiTheme="minorEastAsia" w:hAnsiTheme="minorEastAsia"/>
          <w:color w:val="000000" w:themeColor="text1"/>
          <w:sz w:val="24"/>
          <w:szCs w:val="24"/>
          <w:highlight w:val="none"/>
          <w:u w:val="single"/>
          <w14:textFill>
            <w14:solidFill>
              <w14:schemeClr w14:val="tx1"/>
            </w14:solidFill>
          </w14:textFill>
        </w:rPr>
        <w:t>　　　　　　　　　　　　　　　　　　　　</w:t>
      </w:r>
    </w:p>
    <w:p>
      <w:pPr>
        <w:rPr>
          <w:color w:val="000000" w:themeColor="text1"/>
          <w:highlight w:val="none"/>
          <w14:textFill>
            <w14:solidFill>
              <w14:schemeClr w14:val="tx1"/>
            </w14:solidFill>
          </w14:textFill>
        </w:rPr>
      </w:pPr>
    </w:p>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inline distT="0" distB="0" distL="0" distR="0">
                <wp:extent cx="3081655" cy="1943735"/>
                <wp:effectExtent l="14605" t="8890" r="8890" b="9525"/>
                <wp:docPr id="5" name="圆角矩形 1"/>
                <wp:cNvGraphicFramePr/>
                <a:graphic xmlns:a="http://schemas.openxmlformats.org/drawingml/2006/main">
                  <a:graphicData uri="http://schemas.microsoft.com/office/word/2010/wordprocessingShape">
                    <wps:wsp>
                      <wps:cNvSpPr>
                        <a:spLocks noChangeArrowheads="1"/>
                      </wps:cNvSpPr>
                      <wps:spPr bwMode="auto">
                        <a:xfrm>
                          <a:off x="0" y="0"/>
                          <a:ext cx="3081655" cy="1943735"/>
                        </a:xfrm>
                        <a:prstGeom prst="roundRect">
                          <a:avLst>
                            <a:gd name="adj" fmla="val 16667"/>
                          </a:avLst>
                        </a:prstGeom>
                        <a:solidFill>
                          <a:srgbClr val="FFFFFF"/>
                        </a:solidFill>
                        <a:ln w="12700">
                          <a:solidFill>
                            <a:srgbClr val="000000"/>
                          </a:solidFill>
                          <a:prstDash val="sysDot"/>
                          <a:bevel/>
                        </a:ln>
                      </wps:spPr>
                      <wps:txbx>
                        <w:txbxContent>
                          <w:p>
                            <w:pPr>
                              <w:jc w:val="center"/>
                              <w:rPr>
                                <w:sz w:val="24"/>
                                <w:szCs w:val="24"/>
                              </w:rPr>
                            </w:pPr>
                            <w:r>
                              <w:rPr>
                                <w:rFonts w:hint="eastAsia"/>
                                <w:sz w:val="24"/>
                                <w:szCs w:val="24"/>
                              </w:rPr>
                              <w:t>委托代理人身份证正面复印件</w:t>
                            </w:r>
                          </w:p>
                        </w:txbxContent>
                      </wps:txbx>
                      <wps:bodyPr rot="0" vert="horz" wrap="square" lIns="91440" tIns="792000" rIns="91440" bIns="45720" anchor="t" anchorCtr="0" upright="1">
                        <a:noAutofit/>
                      </wps:bodyPr>
                    </wps:wsp>
                  </a:graphicData>
                </a:graphic>
              </wp:inline>
            </w:drawing>
          </mc:Choice>
          <mc:Fallback>
            <w:pict>
              <v:roundrect id="圆角矩形 1" o:spid="_x0000_s1026" o:spt="2" style="height:153.05pt;width:242.65pt;" fillcolor="#FFFFFF" filled="t" stroked="t" coordsize="21600,21600" arcsize="0.166666666666667" o:gfxdata="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3E0QDWAAAABQEAAA8AAAAAAAAAAQAgAAAAIgAAAGRycy9kb3ducmV2Lnht&#10;bFBLAQIUABQAAAAIAIdO4kAZ0FwgbQIAAMEEAAAOAAAAAAAAAAEAIAAAACUBAABkcnMvZTJvRG9j&#10;LnhtbFBLBQYAAAAABgAGAFkBAAAEBgAAAAA=&#10;">
                <v:fill on="t" focussize="0,0"/>
                <v:stroke weight="1pt" color="#000000" joinstyle="bevel" dashstyle="1 1"/>
                <v:imagedata o:title=""/>
                <o:lock v:ext="edit" aspectratio="f"/>
                <v:textbox inset="2.54mm,22mm,2.54mm,1.27mm">
                  <w:txbxContent>
                    <w:p>
                      <w:pPr>
                        <w:jc w:val="center"/>
                        <w:rPr>
                          <w:sz w:val="24"/>
                          <w:szCs w:val="24"/>
                        </w:rPr>
                      </w:pPr>
                      <w:r>
                        <w:rPr>
                          <w:rFonts w:hint="eastAsia"/>
                          <w:sz w:val="24"/>
                          <w:szCs w:val="24"/>
                        </w:rPr>
                        <w:t>委托代理人身份证正面复印件</w:t>
                      </w:r>
                    </w:p>
                  </w:txbxContent>
                </v:textbox>
                <w10:wrap type="none"/>
                <w10:anchorlock/>
              </v:roundrect>
            </w:pict>
          </mc:Fallback>
        </mc:AlternateContent>
      </w:r>
      <w:r>
        <w:rPr>
          <w:color w:val="000000" w:themeColor="text1"/>
          <w:highlight w:val="none"/>
          <w14:textFill>
            <w14:solidFill>
              <w14:schemeClr w14:val="tx1"/>
            </w14:solidFill>
          </w14:textFill>
        </w:rPr>
        <mc:AlternateContent>
          <mc:Choice Requires="wps">
            <w:drawing>
              <wp:inline distT="0" distB="0" distL="0" distR="0">
                <wp:extent cx="3081655" cy="1943735"/>
                <wp:effectExtent l="14605" t="8890" r="8890" b="9525"/>
                <wp:docPr id="2" name="圆角矩形 1"/>
                <wp:cNvGraphicFramePr/>
                <a:graphic xmlns:a="http://schemas.openxmlformats.org/drawingml/2006/main">
                  <a:graphicData uri="http://schemas.microsoft.com/office/word/2010/wordprocessingShape">
                    <wps:wsp>
                      <wps:cNvSpPr>
                        <a:spLocks noChangeArrowheads="1"/>
                      </wps:cNvSpPr>
                      <wps:spPr bwMode="auto">
                        <a:xfrm>
                          <a:off x="0" y="0"/>
                          <a:ext cx="3081655" cy="1943735"/>
                        </a:xfrm>
                        <a:prstGeom prst="roundRect">
                          <a:avLst>
                            <a:gd name="adj" fmla="val 16667"/>
                          </a:avLst>
                        </a:prstGeom>
                        <a:solidFill>
                          <a:srgbClr val="FFFFFF"/>
                        </a:solidFill>
                        <a:ln w="12700">
                          <a:solidFill>
                            <a:srgbClr val="000000"/>
                          </a:solidFill>
                          <a:prstDash val="sysDot"/>
                          <a:bevel/>
                        </a:ln>
                      </wps:spPr>
                      <wps:txbx>
                        <w:txbxContent>
                          <w:p>
                            <w:pPr>
                              <w:jc w:val="center"/>
                              <w:rPr>
                                <w:sz w:val="24"/>
                                <w:szCs w:val="24"/>
                              </w:rPr>
                            </w:pPr>
                            <w:r>
                              <w:rPr>
                                <w:rFonts w:hint="eastAsia"/>
                                <w:sz w:val="24"/>
                                <w:szCs w:val="24"/>
                              </w:rPr>
                              <w:t>委托代理人身份证反面复印件</w:t>
                            </w:r>
                          </w:p>
                        </w:txbxContent>
                      </wps:txbx>
                      <wps:bodyPr rot="0" vert="horz" wrap="square" lIns="91440" tIns="792000" rIns="91440" bIns="45720" anchor="t" anchorCtr="0" upright="1">
                        <a:noAutofit/>
                      </wps:bodyPr>
                    </wps:wsp>
                  </a:graphicData>
                </a:graphic>
              </wp:inline>
            </w:drawing>
          </mc:Choice>
          <mc:Fallback>
            <w:pict>
              <v:roundrect id="圆角矩形 1" o:spid="_x0000_s1026" o:spt="2" style="height:153.05pt;width:242.65pt;" fillcolor="#FFFFFF" filled="t" stroked="t" coordsize="21600,21600" arcsize="0.166666666666667" o:gfxdata="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3E0QDWAAAABQEAAA8AAAAAAAAAAQAgAAAAIgAAAGRycy9kb3ducmV2Lnht&#10;bFBLAQIUABQAAAAIAIdO4kCIpNasbQIAAMEEAAAOAAAAAAAAAAEAIAAAACUBAABkcnMvZTJvRG9j&#10;LnhtbFBLBQYAAAAABgAGAFkBAAAEBgAAAAA=&#10;">
                <v:fill on="t" focussize="0,0"/>
                <v:stroke weight="1pt" color="#000000" joinstyle="bevel" dashstyle="1 1"/>
                <v:imagedata o:title=""/>
                <o:lock v:ext="edit" aspectratio="f"/>
                <v:textbox inset="2.54mm,22mm,2.54mm,1.27mm">
                  <w:txbxContent>
                    <w:p>
                      <w:pPr>
                        <w:jc w:val="center"/>
                        <w:rPr>
                          <w:sz w:val="24"/>
                          <w:szCs w:val="24"/>
                        </w:rPr>
                      </w:pPr>
                      <w:r>
                        <w:rPr>
                          <w:rFonts w:hint="eastAsia"/>
                          <w:sz w:val="24"/>
                          <w:szCs w:val="24"/>
                        </w:rPr>
                        <w:t>委托代理人身份证反面复印件</w:t>
                      </w:r>
                    </w:p>
                  </w:txbxContent>
                </v:textbox>
                <w10:wrap type="none"/>
                <w10:anchorlock/>
              </v:roundrect>
            </w:pict>
          </mc:Fallback>
        </mc:AlternateContent>
      </w:r>
    </w:p>
    <w:p>
      <w:pPr>
        <w:rPr>
          <w:highlight w:val="none"/>
        </w:rPr>
      </w:pPr>
    </w:p>
    <w:p>
      <w:pP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b/>
          <w:color w:val="000000" w:themeColor="text1"/>
          <w:sz w:val="24"/>
          <w:szCs w:val="24"/>
          <w:highlight w:val="none"/>
          <w:shd w:val="pct10" w:color="auto" w:fill="FFFFFF"/>
          <w14:textFill>
            <w14:solidFill>
              <w14:schemeClr w14:val="tx1"/>
            </w14:solidFill>
          </w14:textFill>
        </w:rPr>
        <w:t>注</w:t>
      </w:r>
      <w:r>
        <w:rPr>
          <w:rFonts w:asciiTheme="minorEastAsia" w:hAnsiTheme="minorEastAsia"/>
          <w:b/>
          <w:color w:val="000000" w:themeColor="text1"/>
          <w:sz w:val="24"/>
          <w:szCs w:val="24"/>
          <w:highlight w:val="none"/>
          <w:shd w:val="pct10" w:color="auto" w:fill="FFFFFF"/>
          <w14:textFill>
            <w14:solidFill>
              <w14:schemeClr w14:val="tx1"/>
            </w14:solidFill>
          </w14:textFill>
        </w:rPr>
        <w:t>：磋商</w:t>
      </w:r>
      <w:r>
        <w:rPr>
          <w:rFonts w:hint="eastAsia" w:asciiTheme="minorEastAsia" w:hAnsiTheme="minorEastAsia"/>
          <w:b/>
          <w:color w:val="000000" w:themeColor="text1"/>
          <w:sz w:val="24"/>
          <w:szCs w:val="24"/>
          <w:highlight w:val="none"/>
          <w:shd w:val="pct10" w:color="auto" w:fill="FFFFFF"/>
          <w14:textFill>
            <w14:solidFill>
              <w14:schemeClr w14:val="tx1"/>
            </w14:solidFill>
          </w14:textFill>
        </w:rPr>
        <w:t>时</w:t>
      </w:r>
      <w:r>
        <w:rPr>
          <w:rFonts w:hint="eastAsia" w:cs="宋体" w:asciiTheme="minorEastAsia" w:hAnsiTheme="minorEastAsia"/>
          <w:b/>
          <w:bCs/>
          <w:color w:val="000000" w:themeColor="text1"/>
          <w:sz w:val="24"/>
          <w:szCs w:val="24"/>
          <w:highlight w:val="none"/>
          <w:shd w:val="pct10" w:color="auto" w:fill="FFFFFF"/>
          <w14:textFill>
            <w14:solidFill>
              <w14:schemeClr w14:val="tx1"/>
            </w14:solidFill>
          </w14:textFill>
        </w:rPr>
        <w:t>，供应商授权代表须单独携带一份《法定代表人授权委托书》原件。</w:t>
      </w:r>
    </w:p>
    <w:bookmarkEnd w:id="158"/>
    <w:p>
      <w:pPr>
        <w:pStyle w:val="4"/>
        <w:jc w:val="center"/>
        <w:rPr>
          <w:sz w:val="36"/>
          <w:szCs w:val="36"/>
          <w:highlight w:val="none"/>
        </w:rPr>
      </w:pPr>
      <w:bookmarkStart w:id="167" w:name="_Toc27731290"/>
      <w:bookmarkStart w:id="168" w:name="_Toc20134251"/>
      <w:bookmarkStart w:id="169" w:name="_Toc528249458"/>
      <w:bookmarkStart w:id="170" w:name="_Toc65158817"/>
      <w:bookmarkStart w:id="171" w:name="_Toc19885671"/>
      <w:bookmarkStart w:id="172" w:name="_Toc26947388"/>
      <w:bookmarkStart w:id="173" w:name="_Toc481155497"/>
      <w:bookmarkStart w:id="174" w:name="_Toc523466168"/>
      <w:bookmarkStart w:id="175" w:name="_Toc481092051"/>
      <w:bookmarkStart w:id="176" w:name="_Toc16762664"/>
      <w:bookmarkStart w:id="177" w:name="_Toc15393140"/>
      <w:r>
        <w:rPr>
          <w:rFonts w:hint="eastAsia"/>
          <w:sz w:val="36"/>
          <w:szCs w:val="36"/>
          <w:highlight w:val="none"/>
        </w:rPr>
        <w:t>商务响应偏离表</w:t>
      </w:r>
      <w:bookmarkEnd w:id="167"/>
      <w:bookmarkEnd w:id="168"/>
      <w:bookmarkEnd w:id="169"/>
      <w:bookmarkEnd w:id="170"/>
      <w:bookmarkEnd w:id="171"/>
      <w:bookmarkEnd w:id="172"/>
    </w:p>
    <w:p>
      <w:pPr>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w:t>
      </w:r>
    </w:p>
    <w:p>
      <w:pPr>
        <w:adjustRightInd w:val="0"/>
        <w:snapToGrid w:val="0"/>
        <w:spacing w:line="360" w:lineRule="auto"/>
        <w:rPr>
          <w:rFonts w:ascii="宋体" w:hAnsi="宋体" w:eastAsia="宋体" w:cs="Times New Roman"/>
          <w:color w:val="000000" w:themeColor="text1"/>
          <w:sz w:val="24"/>
          <w:szCs w:val="21"/>
          <w:highlight w:val="none"/>
          <w14:textFill>
            <w14:solidFill>
              <w14:schemeClr w14:val="tx1"/>
            </w14:solidFill>
          </w14:textFill>
        </w:rPr>
      </w:pPr>
      <w:r>
        <w:rPr>
          <w:rFonts w:hint="eastAsia" w:ascii="宋体" w:hAnsi="宋体" w:eastAsia="宋体" w:cs="Times New Roman"/>
          <w:color w:val="000000" w:themeColor="text1"/>
          <w:sz w:val="24"/>
          <w:szCs w:val="21"/>
          <w:highlight w:val="none"/>
          <w14:textFill>
            <w14:solidFill>
              <w14:schemeClr w14:val="tx1"/>
            </w14:solidFill>
          </w14:textFill>
        </w:rPr>
        <w:t>项目编号：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w:t>
      </w:r>
      <w:r>
        <w:rPr>
          <w:rFonts w:hint="eastAsia" w:ascii="宋体" w:hAnsi="宋体" w:eastAsia="宋体" w:cs="Times New Roman"/>
          <w:color w:val="000000" w:themeColor="text1"/>
          <w:sz w:val="24"/>
          <w:szCs w:val="21"/>
          <w:highlight w:val="none"/>
          <w14:textFill>
            <w14:solidFill>
              <w14:schemeClr w14:val="tx1"/>
            </w14:solidFill>
          </w14:textFill>
        </w:rPr>
        <w:t>项目包号：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3058"/>
        <w:gridCol w:w="3058"/>
        <w:gridCol w:w="1375"/>
        <w:gridCol w:w="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序号</w:t>
            </w:r>
          </w:p>
        </w:tc>
        <w:tc>
          <w:tcPr>
            <w:tcW w:w="1677"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磋商文件商务要求条款</w:t>
            </w:r>
          </w:p>
        </w:tc>
        <w:tc>
          <w:tcPr>
            <w:tcW w:w="1677"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响应文件商务响应内容</w:t>
            </w:r>
          </w:p>
        </w:tc>
        <w:tc>
          <w:tcPr>
            <w:tcW w:w="754"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偏离说明</w:t>
            </w:r>
          </w:p>
        </w:tc>
        <w:tc>
          <w:tcPr>
            <w:tcW w:w="446"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bl>
    <w:p>
      <w:pPr>
        <w:ind w:left="708" w:hanging="708" w:hangingChars="294"/>
        <w:jc w:val="left"/>
        <w:rPr>
          <w:rFonts w:ascii="宋体" w:hAnsi="宋体" w:eastAsia="宋体" w:cs="Corbel"/>
          <w:sz w:val="24"/>
          <w:szCs w:val="24"/>
          <w:highlight w:val="none"/>
        </w:rPr>
      </w:pPr>
      <w:r>
        <w:rPr>
          <w:rFonts w:hint="eastAsia" w:ascii="宋体" w:hAnsi="宋体" w:eastAsia="宋体" w:cs="Times New Roman"/>
          <w:b/>
          <w:sz w:val="24"/>
          <w:szCs w:val="24"/>
          <w:highlight w:val="none"/>
        </w:rPr>
        <w:t>说明</w:t>
      </w:r>
      <w:r>
        <w:rPr>
          <w:rFonts w:hint="eastAsia" w:ascii="宋体" w:hAnsi="宋体" w:eastAsia="宋体" w:cs="Corbel"/>
          <w:b/>
          <w:sz w:val="24"/>
          <w:szCs w:val="24"/>
          <w:highlight w:val="none"/>
        </w:rPr>
        <w:t>：</w:t>
      </w:r>
      <w:r>
        <w:rPr>
          <w:rFonts w:hint="eastAsia" w:ascii="宋体" w:hAnsi="宋体" w:eastAsia="宋体" w:cs="Corbel"/>
          <w:sz w:val="24"/>
          <w:szCs w:val="24"/>
          <w:highlight w:val="none"/>
        </w:rPr>
        <w:t>磋商文件的商务要求包括但不限定于供应商的资格要求、采购预算、合同履行期限、交货（或服务）地点、联合体要求、磋商有效期、响应文件份数、响应文件递交截止时间及地点、开标时间及地点，以及磋商文件第三章“项目需求书”中商务要求内容（如有）。</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pStyle w:val="4"/>
        <w:jc w:val="center"/>
        <w:rPr>
          <w:sz w:val="36"/>
          <w:szCs w:val="36"/>
          <w:highlight w:val="none"/>
        </w:rPr>
      </w:pPr>
      <w:r>
        <w:rPr>
          <w:rFonts w:cs="Times New Roman" w:asciiTheme="majorEastAsia" w:hAnsiTheme="majorEastAsia"/>
          <w:bCs w:val="0"/>
          <w:color w:val="000000" w:themeColor="text1"/>
          <w:highlight w:val="none"/>
          <w14:textFill>
            <w14:solidFill>
              <w14:schemeClr w14:val="tx1"/>
            </w14:solidFill>
          </w14:textFill>
        </w:rPr>
        <w:br w:type="page"/>
      </w:r>
      <w:bookmarkStart w:id="178" w:name="_Toc19885672"/>
      <w:bookmarkStart w:id="179" w:name="_Toc65158818"/>
      <w:bookmarkStart w:id="180" w:name="_Toc26947389"/>
      <w:bookmarkStart w:id="181" w:name="_Toc528249459"/>
      <w:bookmarkStart w:id="182" w:name="_Toc27731291"/>
      <w:bookmarkStart w:id="183" w:name="_Toc20134252"/>
      <w:r>
        <w:rPr>
          <w:rFonts w:hint="eastAsia"/>
          <w:sz w:val="36"/>
          <w:szCs w:val="36"/>
          <w:highlight w:val="none"/>
        </w:rPr>
        <w:t>技术响应偏离表</w:t>
      </w:r>
      <w:bookmarkEnd w:id="178"/>
      <w:bookmarkEnd w:id="179"/>
      <w:bookmarkEnd w:id="180"/>
      <w:bookmarkEnd w:id="181"/>
      <w:bookmarkEnd w:id="182"/>
      <w:bookmarkEnd w:id="183"/>
    </w:p>
    <w:p>
      <w:pPr>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w:t>
      </w:r>
    </w:p>
    <w:p>
      <w:pPr>
        <w:adjustRightInd w:val="0"/>
        <w:snapToGrid w:val="0"/>
        <w:spacing w:line="360" w:lineRule="auto"/>
        <w:rPr>
          <w:rFonts w:ascii="宋体" w:hAnsi="宋体" w:eastAsia="宋体" w:cs="Times New Roman"/>
          <w:color w:val="000000" w:themeColor="text1"/>
          <w:sz w:val="24"/>
          <w:szCs w:val="21"/>
          <w:highlight w:val="none"/>
          <w14:textFill>
            <w14:solidFill>
              <w14:schemeClr w14:val="tx1"/>
            </w14:solidFill>
          </w14:textFill>
        </w:rPr>
      </w:pPr>
      <w:r>
        <w:rPr>
          <w:rFonts w:hint="eastAsia" w:ascii="宋体" w:hAnsi="宋体" w:eastAsia="宋体" w:cs="Times New Roman"/>
          <w:color w:val="000000" w:themeColor="text1"/>
          <w:sz w:val="24"/>
          <w:szCs w:val="21"/>
          <w:highlight w:val="none"/>
          <w14:textFill>
            <w14:solidFill>
              <w14:schemeClr w14:val="tx1"/>
            </w14:solidFill>
          </w14:textFill>
        </w:rPr>
        <w:t>项目编号：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w:t>
      </w:r>
      <w:r>
        <w:rPr>
          <w:rFonts w:hint="eastAsia" w:ascii="宋体" w:hAnsi="宋体" w:eastAsia="宋体" w:cs="Times New Roman"/>
          <w:color w:val="000000" w:themeColor="text1"/>
          <w:sz w:val="24"/>
          <w:szCs w:val="21"/>
          <w:highlight w:val="none"/>
          <w14:textFill>
            <w14:solidFill>
              <w14:schemeClr w14:val="tx1"/>
            </w14:solidFill>
          </w14:textFill>
        </w:rPr>
        <w:t>项目包号：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p>
    <w:tbl>
      <w:tblPr>
        <w:tblStyle w:val="32"/>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13"/>
        <w:gridCol w:w="3058"/>
        <w:gridCol w:w="3058"/>
        <w:gridCol w:w="1375"/>
        <w:gridCol w:w="8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46"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序号</w:t>
            </w:r>
          </w:p>
        </w:tc>
        <w:tc>
          <w:tcPr>
            <w:tcW w:w="1677"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磋商文件技术要求条款</w:t>
            </w:r>
          </w:p>
        </w:tc>
        <w:tc>
          <w:tcPr>
            <w:tcW w:w="1677"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响应文件技术响应内容</w:t>
            </w:r>
          </w:p>
        </w:tc>
        <w:tc>
          <w:tcPr>
            <w:tcW w:w="754"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偏离说明</w:t>
            </w:r>
          </w:p>
        </w:tc>
        <w:tc>
          <w:tcPr>
            <w:tcW w:w="446"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1</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2</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3</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4</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5</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6</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bl>
    <w:p>
      <w:pPr>
        <w:spacing w:line="360" w:lineRule="auto"/>
        <w:jc w:val="left"/>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Corbel"/>
          <w:b/>
          <w:color w:val="000000" w:themeColor="text1"/>
          <w:sz w:val="24"/>
          <w:szCs w:val="24"/>
          <w:highlight w:val="none"/>
          <w14:textFill>
            <w14:solidFill>
              <w14:schemeClr w14:val="tx1"/>
            </w14:solidFill>
          </w14:textFill>
        </w:rPr>
        <w:t>说明：</w:t>
      </w:r>
      <w:r>
        <w:rPr>
          <w:rFonts w:hint="eastAsia" w:ascii="宋体" w:hAnsi="宋体" w:eastAsia="宋体" w:cs="Corbel"/>
          <w:color w:val="000000" w:themeColor="text1"/>
          <w:sz w:val="24"/>
          <w:szCs w:val="24"/>
          <w:highlight w:val="none"/>
          <w14:textFill>
            <w14:solidFill>
              <w14:schemeClr w14:val="tx1"/>
            </w14:solidFill>
          </w14:textFill>
        </w:rPr>
        <w:t>供应商应按磋商文件第三章“项目需求书”中技术要求条款逐项说明是否满足要求，如有偏离，供应商应详细说明。未按照要求填写此表或仅注明“符合”、“满足”的，</w:t>
      </w:r>
      <w:r>
        <w:rPr>
          <w:rFonts w:hint="eastAsia" w:ascii="宋体" w:hAnsi="宋体" w:eastAsia="宋体" w:cs="Times New Roman"/>
          <w:color w:val="000000" w:themeColor="text1"/>
          <w:sz w:val="24"/>
          <w:szCs w:val="24"/>
          <w:highlight w:val="none"/>
          <w14:textFill>
            <w14:solidFill>
              <w14:schemeClr w14:val="tx1"/>
            </w14:solidFill>
          </w14:textFill>
        </w:rPr>
        <w:t>导致的后果由供应商自行承担。</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widowControl/>
        <w:jc w:val="left"/>
        <w:rPr>
          <w:rFonts w:ascii="Times New Roman" w:hAnsi="Times New Roman" w:eastAsia="黑体" w:cstheme="majorBidi"/>
          <w:bCs/>
          <w:sz w:val="30"/>
          <w:szCs w:val="32"/>
          <w:highlight w:val="none"/>
        </w:rPr>
      </w:pPr>
      <w:r>
        <w:rPr>
          <w:highlight w:val="none"/>
        </w:rPr>
        <w:br w:type="page"/>
      </w:r>
    </w:p>
    <w:p>
      <w:pPr>
        <w:pStyle w:val="4"/>
        <w:jc w:val="center"/>
        <w:rPr>
          <w:sz w:val="36"/>
          <w:szCs w:val="36"/>
          <w:highlight w:val="none"/>
        </w:rPr>
      </w:pPr>
      <w:bookmarkStart w:id="184" w:name="_Toc26947390"/>
      <w:bookmarkStart w:id="185" w:name="_Toc27731292"/>
      <w:bookmarkStart w:id="186" w:name="_Toc65158819"/>
      <w:r>
        <w:rPr>
          <w:rFonts w:hint="eastAsia"/>
          <w:sz w:val="36"/>
          <w:szCs w:val="36"/>
          <w:highlight w:val="none"/>
        </w:rPr>
        <w:t>商务</w:t>
      </w:r>
      <w:bookmarkEnd w:id="173"/>
      <w:bookmarkEnd w:id="174"/>
      <w:bookmarkEnd w:id="175"/>
      <w:r>
        <w:rPr>
          <w:rFonts w:hint="eastAsia"/>
          <w:sz w:val="36"/>
          <w:szCs w:val="36"/>
          <w:highlight w:val="none"/>
        </w:rPr>
        <w:t>证明文件</w:t>
      </w:r>
      <w:bookmarkEnd w:id="176"/>
      <w:bookmarkEnd w:id="177"/>
      <w:bookmarkEnd w:id="184"/>
      <w:bookmarkEnd w:id="185"/>
      <w:bookmarkEnd w:id="186"/>
    </w:p>
    <w:p>
      <w:pPr>
        <w:spacing w:line="360" w:lineRule="auto"/>
        <w:ind w:firstLine="482" w:firstLineChars="200"/>
        <w:rPr>
          <w:rFonts w:ascii="宋体" w:hAnsi="宋体" w:cs="宋体"/>
          <w:b/>
          <w:bCs/>
          <w:color w:val="000000" w:themeColor="text1"/>
          <w:sz w:val="24"/>
          <w:szCs w:val="24"/>
          <w:highlight w:val="none"/>
          <w14:textFill>
            <w14:solidFill>
              <w14:schemeClr w14:val="tx1"/>
            </w14:solidFill>
          </w14:textFill>
        </w:rPr>
      </w:pPr>
      <w:bookmarkStart w:id="187" w:name="_Toc518044291"/>
      <w:bookmarkStart w:id="188" w:name="_Toc15393141"/>
      <w:bookmarkStart w:id="189" w:name="_Toc16762665"/>
      <w:r>
        <w:rPr>
          <w:rFonts w:hint="eastAsia" w:ascii="宋体" w:hAnsi="宋体" w:cs="宋体"/>
          <w:b/>
          <w:bCs/>
          <w:color w:val="000000" w:themeColor="text1"/>
          <w:sz w:val="24"/>
          <w:szCs w:val="24"/>
          <w:highlight w:val="none"/>
          <w14:textFill>
            <w14:solidFill>
              <w14:schemeClr w14:val="tx1"/>
            </w14:solidFill>
          </w14:textFill>
        </w:rPr>
        <w:t>1、资格证明文件</w:t>
      </w:r>
      <w:bookmarkEnd w:id="187"/>
      <w:bookmarkEnd w:id="188"/>
      <w:bookmarkEnd w:id="189"/>
    </w:p>
    <w:p>
      <w:pPr>
        <w:spacing w:line="360"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bookmarkStart w:id="190" w:name="_Hlk64729506"/>
      <w:r>
        <w:rPr>
          <w:rFonts w:hint="eastAsia" w:ascii="宋体" w:hAnsi="宋体" w:eastAsia="宋体" w:cs="宋体"/>
          <w:color w:val="000000" w:themeColor="text1"/>
          <w:sz w:val="24"/>
          <w:szCs w:val="24"/>
          <w:highlight w:val="none"/>
          <w14:textFill>
            <w14:solidFill>
              <w14:schemeClr w14:val="tx1"/>
            </w14:solidFill>
          </w14:textFill>
        </w:rPr>
        <w:t>根据竞争性磋商文件第一章“二、申请人的资格要求”条要求的内容及顺序自行编制提供。</w:t>
      </w:r>
    </w:p>
    <w:bookmarkEnd w:id="190"/>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注：后附“商业信誉承诺函”及“参加政府采购活动前三年内在经营活动中无重大违法记录声明函”格式要求。</w:t>
      </w:r>
    </w:p>
    <w:p>
      <w:pPr>
        <w:rPr>
          <w:highlight w:val="none"/>
        </w:rPr>
      </w:pPr>
    </w:p>
    <w:p>
      <w:pPr>
        <w:rPr>
          <w:highlight w:val="none"/>
        </w:rPr>
      </w:pPr>
    </w:p>
    <w:p>
      <w:pPr>
        <w:rPr>
          <w:highlight w:val="none"/>
        </w:rPr>
      </w:pPr>
    </w:p>
    <w:p>
      <w:pPr>
        <w:spacing w:line="360" w:lineRule="auto"/>
        <w:ind w:firstLine="482" w:firstLineChars="200"/>
        <w:rPr>
          <w:rFonts w:ascii="宋体" w:hAnsi="宋体" w:cs="宋体"/>
          <w:b/>
          <w:bCs/>
          <w:color w:val="000000" w:themeColor="text1"/>
          <w:sz w:val="24"/>
          <w:szCs w:val="24"/>
          <w:highlight w:val="none"/>
          <w14:textFill>
            <w14:solidFill>
              <w14:schemeClr w14:val="tx1"/>
            </w14:solidFill>
          </w14:textFill>
        </w:rPr>
      </w:pPr>
      <w:bookmarkStart w:id="191" w:name="_Toc15393142"/>
      <w:bookmarkStart w:id="192" w:name="_Toc518044292"/>
      <w:bookmarkStart w:id="193" w:name="_Toc16762666"/>
      <w:r>
        <w:rPr>
          <w:rFonts w:hint="eastAsia" w:ascii="宋体" w:hAnsi="宋体" w:cs="宋体"/>
          <w:b/>
          <w:bCs/>
          <w:color w:val="000000" w:themeColor="text1"/>
          <w:sz w:val="24"/>
          <w:szCs w:val="24"/>
          <w:highlight w:val="none"/>
          <w14:textFill>
            <w14:solidFill>
              <w14:schemeClr w14:val="tx1"/>
            </w14:solidFill>
          </w14:textFill>
        </w:rPr>
        <w:t>2、其他商务文件</w:t>
      </w:r>
      <w:bookmarkEnd w:id="191"/>
      <w:bookmarkEnd w:id="192"/>
      <w:bookmarkEnd w:id="193"/>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竞争性磋商文件要求或者供应商认为需要提供的其他相关商务证明文件（复印件加盖公章）。</w:t>
      </w:r>
    </w:p>
    <w:p>
      <w:pPr>
        <w:widowControl/>
        <w:jc w:val="left"/>
        <w:rPr>
          <w:rFonts w:ascii="Times New Roman" w:hAnsi="Times New Roman" w:eastAsia="黑体" w:cs="黑体"/>
          <w:bCs/>
          <w:sz w:val="28"/>
          <w:szCs w:val="28"/>
          <w:highlight w:val="none"/>
        </w:rPr>
      </w:pPr>
      <w:r>
        <w:rPr>
          <w:rFonts w:cs="黑体"/>
          <w:szCs w:val="28"/>
          <w:highlight w:val="none"/>
        </w:rPr>
        <w:br w:type="page"/>
      </w:r>
    </w:p>
    <w:bookmarkEnd w:id="153"/>
    <w:p>
      <w:pPr>
        <w:pStyle w:val="5"/>
        <w:jc w:val="left"/>
        <w:rPr>
          <w:sz w:val="30"/>
          <w:szCs w:val="30"/>
          <w:highlight w:val="none"/>
        </w:rPr>
      </w:pPr>
      <w:bookmarkStart w:id="194" w:name="_Toc65158820"/>
      <w:bookmarkStart w:id="195" w:name="_Toc27731293"/>
      <w:bookmarkStart w:id="196" w:name="_Toc4424"/>
      <w:bookmarkStart w:id="197" w:name="_Toc26947391"/>
      <w:bookmarkStart w:id="198" w:name="_Toc31222"/>
      <w:bookmarkStart w:id="199" w:name="_Toc21705"/>
      <w:r>
        <w:rPr>
          <w:rFonts w:hint="eastAsia"/>
          <w:sz w:val="30"/>
          <w:szCs w:val="30"/>
          <w:highlight w:val="none"/>
        </w:rPr>
        <w:t>商业信誉承诺函</w:t>
      </w:r>
      <w:bookmarkEnd w:id="194"/>
    </w:p>
    <w:p>
      <w:pPr>
        <w:rPr>
          <w:highlight w:val="none"/>
        </w:rPr>
      </w:pPr>
    </w:p>
    <w:p>
      <w:pPr>
        <w:jc w:val="center"/>
        <w:rPr>
          <w:rFonts w:ascii="宋体" w:hAnsi="宋体" w:eastAsia="宋体"/>
          <w:b/>
          <w:sz w:val="30"/>
          <w:szCs w:val="30"/>
          <w:highlight w:val="none"/>
        </w:rPr>
      </w:pPr>
      <w:r>
        <w:rPr>
          <w:rFonts w:hint="eastAsia" w:ascii="宋体" w:hAnsi="宋体" w:eastAsia="宋体"/>
          <w:b/>
          <w:sz w:val="28"/>
          <w:szCs w:val="30"/>
          <w:highlight w:val="none"/>
        </w:rPr>
        <w:t>商业信誉承诺函</w:t>
      </w:r>
    </w:p>
    <w:p>
      <w:pPr>
        <w:rPr>
          <w:highlight w:val="none"/>
        </w:rPr>
      </w:pPr>
    </w:p>
    <w:p>
      <w:pPr>
        <w:spacing w:line="360" w:lineRule="auto"/>
        <w:rPr>
          <w:rFonts w:ascii="宋体" w:hAnsi="宋体"/>
          <w:color w:val="000000"/>
          <w:sz w:val="24"/>
          <w:szCs w:val="24"/>
          <w:highlight w:val="none"/>
        </w:rPr>
      </w:pPr>
      <w:bookmarkStart w:id="200" w:name="_Hlk64708287"/>
      <w:r>
        <w:rPr>
          <w:rFonts w:ascii="宋体" w:hAnsi="宋体"/>
          <w:color w:val="000000"/>
          <w:sz w:val="24"/>
          <w:szCs w:val="24"/>
          <w:highlight w:val="none"/>
          <w:u w:val="single"/>
        </w:rPr>
        <w:t>　　　　　　　　　　　　</w:t>
      </w:r>
      <w:r>
        <w:rPr>
          <w:rFonts w:ascii="宋体" w:hAnsi="宋体"/>
          <w:color w:val="000000"/>
          <w:sz w:val="24"/>
          <w:szCs w:val="24"/>
          <w:highlight w:val="none"/>
        </w:rPr>
        <w:t>（</w:t>
      </w:r>
      <w:r>
        <w:rPr>
          <w:rFonts w:hint="eastAsia" w:ascii="宋体" w:hAnsi="宋体"/>
          <w:color w:val="000000"/>
          <w:sz w:val="24"/>
          <w:szCs w:val="24"/>
          <w:highlight w:val="none"/>
        </w:rPr>
        <w:t>采购人</w:t>
      </w:r>
      <w:r>
        <w:rPr>
          <w:rFonts w:ascii="宋体" w:hAnsi="宋体"/>
          <w:color w:val="000000"/>
          <w:sz w:val="24"/>
          <w:szCs w:val="24"/>
          <w:highlight w:val="none"/>
        </w:rPr>
        <w:t>名称）：</w:t>
      </w:r>
    </w:p>
    <w:bookmarkEnd w:id="200"/>
    <w:p>
      <w:pPr>
        <w:rPr>
          <w:highlight w:val="none"/>
        </w:rPr>
      </w:pPr>
    </w:p>
    <w:p>
      <w:pPr>
        <w:spacing w:line="360" w:lineRule="auto"/>
        <w:ind w:firstLine="480" w:firstLineChars="200"/>
        <w:rPr>
          <w:rFonts w:asciiTheme="minorEastAsia" w:hAnsiTheme="minorEastAsia"/>
          <w:bCs/>
          <w:sz w:val="24"/>
          <w:szCs w:val="24"/>
          <w:highlight w:val="none"/>
        </w:rPr>
      </w:pPr>
      <w:r>
        <w:rPr>
          <w:rFonts w:hint="eastAsia" w:hAnsi="宋体"/>
          <w:color w:val="000000" w:themeColor="text1"/>
          <w:kern w:val="0"/>
          <w:sz w:val="24"/>
          <w:szCs w:val="24"/>
          <w:highlight w:val="none"/>
          <w14:textFill>
            <w14:solidFill>
              <w14:schemeClr w14:val="tx1"/>
            </w14:solidFill>
          </w14:textFill>
        </w:rPr>
        <w:t>依据贵方</w:t>
      </w:r>
      <w:r>
        <w:rPr>
          <w:rFonts w:hint="eastAsia" w:hAnsi="宋体"/>
          <w:color w:val="000000" w:themeColor="text1"/>
          <w:sz w:val="24"/>
          <w:szCs w:val="24"/>
          <w:highlight w:val="none"/>
          <w:u w:val="single"/>
          <w14:textFill>
            <w14:solidFill>
              <w14:schemeClr w14:val="tx1"/>
            </w14:solidFill>
          </w14:textFill>
        </w:rPr>
        <w:t>（项目名称、项目编号、项目包号</w:t>
      </w:r>
      <w:r>
        <w:rPr>
          <w:rFonts w:hint="eastAsia" w:hAnsi="宋体"/>
          <w:color w:val="000000" w:themeColor="text1"/>
          <w:kern w:val="0"/>
          <w:sz w:val="24"/>
          <w:szCs w:val="24"/>
          <w:highlight w:val="none"/>
          <w:u w:val="single"/>
          <w14:textFill>
            <w14:solidFill>
              <w14:schemeClr w14:val="tx1"/>
            </w14:solidFill>
          </w14:textFill>
        </w:rPr>
        <w:t>）</w:t>
      </w:r>
      <w:r>
        <w:rPr>
          <w:rFonts w:hint="eastAsia" w:hAnsi="宋体"/>
          <w:color w:val="000000" w:themeColor="text1"/>
          <w:kern w:val="0"/>
          <w:sz w:val="24"/>
          <w:szCs w:val="24"/>
          <w:highlight w:val="none"/>
          <w14:textFill>
            <w14:solidFill>
              <w14:schemeClr w14:val="tx1"/>
            </w14:solidFill>
          </w14:textFill>
        </w:rPr>
        <w:t>项目的磋商邀请，我方代表</w:t>
      </w:r>
      <w:r>
        <w:rPr>
          <w:rFonts w:hint="eastAsia" w:hAnsi="宋体"/>
          <w:color w:val="000000" w:themeColor="text1"/>
          <w:sz w:val="24"/>
          <w:szCs w:val="24"/>
          <w:highlight w:val="none"/>
          <w:u w:val="single"/>
          <w14:textFill>
            <w14:solidFill>
              <w14:schemeClr w14:val="tx1"/>
            </w14:solidFill>
          </w14:textFill>
        </w:rPr>
        <w:t>（姓名、职务</w:t>
      </w:r>
      <w:r>
        <w:rPr>
          <w:rFonts w:hint="eastAsia" w:hAnsi="宋体"/>
          <w:color w:val="000000" w:themeColor="text1"/>
          <w:kern w:val="0"/>
          <w:sz w:val="24"/>
          <w:szCs w:val="24"/>
          <w:highlight w:val="none"/>
          <w14:textFill>
            <w14:solidFill>
              <w14:schemeClr w14:val="tx1"/>
            </w14:solidFill>
          </w14:textFill>
        </w:rPr>
        <w:t>）经正式授权并代表供应商</w:t>
      </w:r>
      <w:r>
        <w:rPr>
          <w:rFonts w:hint="eastAsia" w:hAnsi="宋体"/>
          <w:color w:val="000000" w:themeColor="text1"/>
          <w:sz w:val="24"/>
          <w:szCs w:val="24"/>
          <w:highlight w:val="none"/>
          <w:u w:val="single"/>
          <w14:textFill>
            <w14:solidFill>
              <w14:schemeClr w14:val="tx1"/>
            </w14:solidFill>
          </w14:textFill>
        </w:rPr>
        <w:t>（供应商全称、地址）</w:t>
      </w:r>
      <w:r>
        <w:rPr>
          <w:rFonts w:hint="eastAsia" w:asciiTheme="minorEastAsia" w:hAnsiTheme="minorEastAsia"/>
          <w:bCs/>
          <w:sz w:val="24"/>
          <w:szCs w:val="24"/>
          <w:highlight w:val="none"/>
        </w:rPr>
        <w:t>在此郑重声明如下：</w:t>
      </w:r>
    </w:p>
    <w:p>
      <w:pPr>
        <w:rPr>
          <w:highlight w:val="none"/>
        </w:rPr>
      </w:pP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1</w:t>
      </w:r>
      <w:r>
        <w:rPr>
          <w:rFonts w:hint="eastAsia" w:ascii="宋体" w:hAnsi="宋体" w:eastAsia="宋体"/>
          <w:sz w:val="24"/>
          <w:szCs w:val="24"/>
          <w:highlight w:val="none"/>
        </w:rPr>
        <w:t>、我公司未被纳入法院、工商行政管理部门、税务部门、银行认定的失信名单且在有效期内，或者在前三年政府采购合同履约过程中及其他经营活动履约过程中依法履约未被有关行政部门处罚（处理）。</w:t>
      </w:r>
    </w:p>
    <w:p>
      <w:pPr>
        <w:rPr>
          <w:highlight w:val="none"/>
        </w:rPr>
      </w:pP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2、本公司具有良好的商业信誉对上述声明的真实性负责。如有虚假，将依法承担相应责任。</w:t>
      </w:r>
    </w:p>
    <w:p>
      <w:pPr>
        <w:rPr>
          <w:highlight w:val="none"/>
        </w:rPr>
      </w:pPr>
    </w:p>
    <w:p>
      <w:pPr>
        <w:spacing w:line="360" w:lineRule="auto"/>
        <w:ind w:firstLine="480" w:firstLineChars="200"/>
        <w:rPr>
          <w:rFonts w:hAnsi="宋体"/>
          <w:sz w:val="24"/>
          <w:szCs w:val="24"/>
          <w:highlight w:val="none"/>
        </w:rPr>
      </w:pPr>
      <w:r>
        <w:rPr>
          <w:rFonts w:hint="eastAsia" w:hAnsi="宋体"/>
          <w:sz w:val="24"/>
          <w:szCs w:val="24"/>
          <w:highlight w:val="none"/>
        </w:rPr>
        <w:t>特此承诺！</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widowControl/>
        <w:jc w:val="left"/>
        <w:rPr>
          <w:rFonts w:ascii="Times New Roman" w:hAnsi="Times New Roman" w:eastAsia="黑体"/>
          <w:bCs/>
          <w:sz w:val="30"/>
          <w:szCs w:val="30"/>
          <w:highlight w:val="none"/>
        </w:rPr>
      </w:pPr>
      <w:r>
        <w:rPr>
          <w:sz w:val="30"/>
          <w:szCs w:val="30"/>
          <w:highlight w:val="none"/>
        </w:rPr>
        <w:br w:type="page"/>
      </w:r>
    </w:p>
    <w:p>
      <w:pPr>
        <w:pStyle w:val="5"/>
        <w:jc w:val="left"/>
        <w:rPr>
          <w:sz w:val="30"/>
          <w:szCs w:val="30"/>
          <w:highlight w:val="none"/>
        </w:rPr>
      </w:pPr>
      <w:bookmarkStart w:id="201" w:name="_Toc38457863"/>
      <w:bookmarkStart w:id="202" w:name="_Toc2782594"/>
      <w:bookmarkStart w:id="203" w:name="_Toc65158821"/>
      <w:r>
        <w:rPr>
          <w:rFonts w:hint="eastAsia"/>
          <w:sz w:val="30"/>
          <w:szCs w:val="30"/>
          <w:highlight w:val="none"/>
        </w:rPr>
        <w:t>无重大违法记录声明函</w:t>
      </w:r>
      <w:bookmarkEnd w:id="201"/>
      <w:bookmarkEnd w:id="202"/>
      <w:bookmarkEnd w:id="203"/>
    </w:p>
    <w:p>
      <w:pPr>
        <w:rPr>
          <w:highlight w:val="none"/>
        </w:rPr>
      </w:pPr>
    </w:p>
    <w:p>
      <w:pPr>
        <w:jc w:val="center"/>
        <w:rPr>
          <w:rFonts w:ascii="宋体" w:hAnsi="宋体" w:eastAsia="宋体"/>
          <w:b/>
          <w:sz w:val="30"/>
          <w:szCs w:val="30"/>
          <w:highlight w:val="none"/>
        </w:rPr>
      </w:pPr>
      <w:r>
        <w:rPr>
          <w:rFonts w:hint="eastAsia" w:ascii="宋体" w:hAnsi="宋体" w:eastAsia="宋体"/>
          <w:b/>
          <w:sz w:val="28"/>
          <w:szCs w:val="30"/>
          <w:highlight w:val="none"/>
        </w:rPr>
        <w:t>参加政府采购活动前三年内在经营活动中无重大违法记录声明函</w:t>
      </w:r>
    </w:p>
    <w:p>
      <w:pPr>
        <w:rPr>
          <w:highlight w:val="none"/>
        </w:rPr>
      </w:pPr>
    </w:p>
    <w:p>
      <w:pPr>
        <w:spacing w:line="360" w:lineRule="auto"/>
        <w:rPr>
          <w:rFonts w:ascii="宋体" w:hAnsi="宋体"/>
          <w:color w:val="000000"/>
          <w:sz w:val="24"/>
          <w:szCs w:val="24"/>
          <w:highlight w:val="none"/>
        </w:rPr>
      </w:pPr>
      <w:r>
        <w:rPr>
          <w:rFonts w:ascii="宋体" w:hAnsi="宋体"/>
          <w:color w:val="000000"/>
          <w:sz w:val="24"/>
          <w:szCs w:val="24"/>
          <w:highlight w:val="none"/>
          <w:u w:val="single"/>
        </w:rPr>
        <w:t>　　　　　　　　　　　　</w:t>
      </w:r>
      <w:r>
        <w:rPr>
          <w:rFonts w:ascii="宋体" w:hAnsi="宋体"/>
          <w:color w:val="000000"/>
          <w:sz w:val="24"/>
          <w:szCs w:val="24"/>
          <w:highlight w:val="none"/>
        </w:rPr>
        <w:t>（</w:t>
      </w:r>
      <w:r>
        <w:rPr>
          <w:rFonts w:hint="eastAsia" w:ascii="宋体" w:hAnsi="宋体"/>
          <w:color w:val="000000"/>
          <w:sz w:val="24"/>
          <w:szCs w:val="24"/>
          <w:highlight w:val="none"/>
        </w:rPr>
        <w:t>采购人</w:t>
      </w:r>
      <w:r>
        <w:rPr>
          <w:rFonts w:ascii="宋体" w:hAnsi="宋体"/>
          <w:color w:val="000000"/>
          <w:sz w:val="24"/>
          <w:szCs w:val="24"/>
          <w:highlight w:val="none"/>
        </w:rPr>
        <w:t>名称）：</w:t>
      </w:r>
    </w:p>
    <w:p>
      <w:pPr>
        <w:rPr>
          <w:highlight w:val="none"/>
        </w:rPr>
      </w:pPr>
    </w:p>
    <w:p>
      <w:pPr>
        <w:spacing w:line="360" w:lineRule="auto"/>
        <w:ind w:firstLine="480" w:firstLineChars="200"/>
        <w:rPr>
          <w:rFonts w:asciiTheme="minorEastAsia" w:hAnsiTheme="minorEastAsia"/>
          <w:bCs/>
          <w:sz w:val="24"/>
          <w:szCs w:val="24"/>
          <w:highlight w:val="none"/>
        </w:rPr>
      </w:pPr>
      <w:r>
        <w:rPr>
          <w:rFonts w:hint="eastAsia" w:hAnsi="宋体"/>
          <w:color w:val="000000" w:themeColor="text1"/>
          <w:kern w:val="0"/>
          <w:sz w:val="24"/>
          <w:szCs w:val="24"/>
          <w:highlight w:val="none"/>
          <w14:textFill>
            <w14:solidFill>
              <w14:schemeClr w14:val="tx1"/>
            </w14:solidFill>
          </w14:textFill>
        </w:rPr>
        <w:t>依据贵方</w:t>
      </w:r>
      <w:r>
        <w:rPr>
          <w:rFonts w:hint="eastAsia" w:hAnsi="宋体"/>
          <w:color w:val="000000" w:themeColor="text1"/>
          <w:sz w:val="24"/>
          <w:szCs w:val="24"/>
          <w:highlight w:val="none"/>
          <w:u w:val="single"/>
          <w14:textFill>
            <w14:solidFill>
              <w14:schemeClr w14:val="tx1"/>
            </w14:solidFill>
          </w14:textFill>
        </w:rPr>
        <w:t>（项目名称、项目编号、项目包号</w:t>
      </w:r>
      <w:r>
        <w:rPr>
          <w:rFonts w:hint="eastAsia" w:hAnsi="宋体"/>
          <w:color w:val="000000" w:themeColor="text1"/>
          <w:kern w:val="0"/>
          <w:sz w:val="24"/>
          <w:szCs w:val="24"/>
          <w:highlight w:val="none"/>
          <w:u w:val="single"/>
          <w14:textFill>
            <w14:solidFill>
              <w14:schemeClr w14:val="tx1"/>
            </w14:solidFill>
          </w14:textFill>
        </w:rPr>
        <w:t>）</w:t>
      </w:r>
      <w:r>
        <w:rPr>
          <w:rFonts w:hint="eastAsia" w:hAnsi="宋体"/>
          <w:color w:val="000000" w:themeColor="text1"/>
          <w:kern w:val="0"/>
          <w:sz w:val="24"/>
          <w:szCs w:val="24"/>
          <w:highlight w:val="none"/>
          <w14:textFill>
            <w14:solidFill>
              <w14:schemeClr w14:val="tx1"/>
            </w14:solidFill>
          </w14:textFill>
        </w:rPr>
        <w:t>项目的磋商邀请，我方代表</w:t>
      </w:r>
      <w:r>
        <w:rPr>
          <w:rFonts w:hint="eastAsia" w:hAnsi="宋体"/>
          <w:color w:val="000000" w:themeColor="text1"/>
          <w:sz w:val="24"/>
          <w:szCs w:val="24"/>
          <w:highlight w:val="none"/>
          <w:u w:val="single"/>
          <w14:textFill>
            <w14:solidFill>
              <w14:schemeClr w14:val="tx1"/>
            </w14:solidFill>
          </w14:textFill>
        </w:rPr>
        <w:t>（姓名、职务</w:t>
      </w:r>
      <w:r>
        <w:rPr>
          <w:rFonts w:hint="eastAsia" w:hAnsi="宋体"/>
          <w:color w:val="000000" w:themeColor="text1"/>
          <w:kern w:val="0"/>
          <w:sz w:val="24"/>
          <w:szCs w:val="24"/>
          <w:highlight w:val="none"/>
          <w14:textFill>
            <w14:solidFill>
              <w14:schemeClr w14:val="tx1"/>
            </w14:solidFill>
          </w14:textFill>
        </w:rPr>
        <w:t>）经正式授权并代表供应商</w:t>
      </w:r>
      <w:r>
        <w:rPr>
          <w:rFonts w:hint="eastAsia" w:hAnsi="宋体"/>
          <w:color w:val="000000" w:themeColor="text1"/>
          <w:sz w:val="24"/>
          <w:szCs w:val="24"/>
          <w:highlight w:val="none"/>
          <w:u w:val="single"/>
          <w14:textFill>
            <w14:solidFill>
              <w14:schemeClr w14:val="tx1"/>
            </w14:solidFill>
          </w14:textFill>
        </w:rPr>
        <w:t>（供应商全称、地址）</w:t>
      </w:r>
      <w:r>
        <w:rPr>
          <w:rFonts w:hint="eastAsia" w:asciiTheme="minorEastAsia" w:hAnsiTheme="minorEastAsia"/>
          <w:bCs/>
          <w:sz w:val="24"/>
          <w:szCs w:val="24"/>
          <w:highlight w:val="none"/>
        </w:rPr>
        <w:t>在此郑重声明如下：</w:t>
      </w:r>
    </w:p>
    <w:p>
      <w:pPr>
        <w:rPr>
          <w:highlight w:val="none"/>
        </w:rPr>
      </w:pPr>
    </w:p>
    <w:p>
      <w:pPr>
        <w:pStyle w:val="50"/>
        <w:numPr>
          <w:ilvl w:val="1"/>
          <w:numId w:val="43"/>
        </w:numPr>
        <w:tabs>
          <w:tab w:val="left" w:pos="854"/>
        </w:tabs>
        <w:spacing w:line="360" w:lineRule="auto"/>
        <w:ind w:left="11" w:firstLine="480"/>
        <w:rPr>
          <w:rFonts w:asciiTheme="minorEastAsia" w:hAnsiTheme="minorEastAsia"/>
          <w:bCs/>
          <w:sz w:val="24"/>
          <w:szCs w:val="24"/>
          <w:highlight w:val="none"/>
        </w:rPr>
      </w:pPr>
      <w:r>
        <w:rPr>
          <w:rFonts w:hint="eastAsia" w:asciiTheme="minorEastAsia" w:hAnsiTheme="minorEastAsia"/>
          <w:bCs/>
          <w:sz w:val="24"/>
          <w:szCs w:val="24"/>
          <w:highlight w:val="none"/>
        </w:rPr>
        <w:t>参加本项目政府采购活动前三年内，本单位未因违法经营受到刑事处罚或者责令停产停业、吊销许可证或者执照、较大数额罚款（根据各地方、各部门明确的听证范围确定较大数额罚款的额度）等行政处罚；</w:t>
      </w:r>
    </w:p>
    <w:p>
      <w:pPr>
        <w:pStyle w:val="50"/>
        <w:numPr>
          <w:ilvl w:val="1"/>
          <w:numId w:val="43"/>
        </w:numPr>
        <w:tabs>
          <w:tab w:val="left" w:pos="854"/>
        </w:tabs>
        <w:spacing w:line="360" w:lineRule="auto"/>
        <w:ind w:left="11" w:firstLine="480"/>
        <w:rPr>
          <w:rFonts w:asciiTheme="minorEastAsia" w:hAnsiTheme="minorEastAsia"/>
          <w:bCs/>
          <w:sz w:val="24"/>
          <w:szCs w:val="24"/>
          <w:highlight w:val="none"/>
        </w:rPr>
      </w:pPr>
      <w:r>
        <w:rPr>
          <w:rFonts w:hint="eastAsia" w:asciiTheme="minorEastAsia" w:hAnsiTheme="minorEastAsia"/>
          <w:bCs/>
          <w:sz w:val="24"/>
          <w:szCs w:val="24"/>
          <w:highlight w:val="none"/>
        </w:rPr>
        <w:t>参加本项目政府采购活动前三年内，本单位未受到过全国</w:t>
      </w:r>
      <w:r>
        <w:rPr>
          <w:rFonts w:asciiTheme="minorEastAsia" w:hAnsiTheme="minorEastAsia"/>
          <w:bCs/>
          <w:sz w:val="24"/>
          <w:szCs w:val="24"/>
          <w:highlight w:val="none"/>
        </w:rPr>
        <w:t>各级人民政府财政部门依法</w:t>
      </w:r>
      <w:r>
        <w:rPr>
          <w:rFonts w:hint="eastAsia" w:asciiTheme="minorEastAsia" w:hAnsiTheme="minorEastAsia"/>
          <w:bCs/>
          <w:sz w:val="24"/>
          <w:szCs w:val="24"/>
          <w:highlight w:val="none"/>
        </w:rPr>
        <w:t>作</w:t>
      </w:r>
      <w:r>
        <w:rPr>
          <w:rFonts w:asciiTheme="minorEastAsia" w:hAnsiTheme="minorEastAsia"/>
          <w:bCs/>
          <w:sz w:val="24"/>
          <w:szCs w:val="24"/>
          <w:highlight w:val="none"/>
        </w:rPr>
        <w:t>出的禁止参加政府采购活动等行政处罚决定</w:t>
      </w:r>
      <w:r>
        <w:rPr>
          <w:rFonts w:hint="eastAsia" w:asciiTheme="minorEastAsia" w:hAnsiTheme="minorEastAsia"/>
          <w:bCs/>
          <w:sz w:val="24"/>
          <w:szCs w:val="24"/>
          <w:highlight w:val="none"/>
        </w:rPr>
        <w:t>；</w:t>
      </w:r>
    </w:p>
    <w:p>
      <w:pPr>
        <w:pStyle w:val="50"/>
        <w:numPr>
          <w:ilvl w:val="1"/>
          <w:numId w:val="43"/>
        </w:numPr>
        <w:tabs>
          <w:tab w:val="left" w:pos="854"/>
        </w:tabs>
        <w:spacing w:line="360" w:lineRule="auto"/>
        <w:ind w:left="11" w:firstLine="480"/>
        <w:rPr>
          <w:rFonts w:asciiTheme="minorEastAsia" w:hAnsiTheme="minorEastAsia"/>
          <w:bCs/>
          <w:sz w:val="24"/>
          <w:szCs w:val="24"/>
          <w:highlight w:val="none"/>
        </w:rPr>
      </w:pPr>
      <w:r>
        <w:rPr>
          <w:rFonts w:hint="eastAsia" w:asciiTheme="minorEastAsia" w:hAnsiTheme="minorEastAsia"/>
          <w:bCs/>
          <w:sz w:val="24"/>
          <w:szCs w:val="24"/>
          <w:highlight w:val="none"/>
        </w:rPr>
        <w:t>如上述声明内容不实，本单位自愿接受政府采购监管部门按照《中华人民共和国政府采购法》关于提供虚假材料的规定给予处罚。</w:t>
      </w:r>
    </w:p>
    <w:p>
      <w:pPr>
        <w:rPr>
          <w:highlight w:val="none"/>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highlight w:val="none"/>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widowControl/>
        <w:jc w:val="left"/>
        <w:rPr>
          <w:rFonts w:ascii="Times New Roman" w:hAnsi="Times New Roman" w:eastAsia="黑体"/>
          <w:bCs/>
          <w:sz w:val="30"/>
          <w:szCs w:val="30"/>
          <w:highlight w:val="none"/>
        </w:rPr>
      </w:pPr>
      <w:r>
        <w:rPr>
          <w:sz w:val="30"/>
          <w:szCs w:val="30"/>
          <w:highlight w:val="none"/>
        </w:rPr>
        <w:br w:type="page"/>
      </w:r>
    </w:p>
    <w:p>
      <w:pPr>
        <w:pStyle w:val="5"/>
        <w:jc w:val="center"/>
        <w:rPr>
          <w:sz w:val="30"/>
          <w:szCs w:val="30"/>
          <w:highlight w:val="none"/>
        </w:rPr>
      </w:pPr>
      <w:bookmarkStart w:id="204" w:name="_Toc65158822"/>
      <w:r>
        <w:rPr>
          <w:rFonts w:hint="eastAsia"/>
          <w:sz w:val="30"/>
          <w:szCs w:val="30"/>
          <w:highlight w:val="none"/>
        </w:rPr>
        <w:t>非联合体磋商声明函</w:t>
      </w:r>
      <w:bookmarkEnd w:id="204"/>
    </w:p>
    <w:p>
      <w:pPr>
        <w:rPr>
          <w:highlight w:val="none"/>
        </w:rPr>
      </w:pPr>
    </w:p>
    <w:p>
      <w:pPr>
        <w:spacing w:line="360" w:lineRule="auto"/>
        <w:rPr>
          <w:rFonts w:ascii="宋体" w:hAnsi="宋体" w:eastAsia="宋体" w:cs="Times New Roman"/>
          <w:b/>
          <w:sz w:val="24"/>
          <w:szCs w:val="24"/>
          <w:highlight w:val="none"/>
        </w:rPr>
      </w:pPr>
      <w:r>
        <w:rPr>
          <w:rFonts w:hint="eastAsia" w:ascii="宋体" w:hAnsi="宋体" w:eastAsia="宋体" w:cs="Times New Roman"/>
          <w:b/>
          <w:sz w:val="24"/>
          <w:szCs w:val="24"/>
          <w:highlight w:val="none"/>
          <w:u w:val="single"/>
        </w:rPr>
        <w:t>　　　　　　　　</w:t>
      </w:r>
      <w:r>
        <w:rPr>
          <w:rFonts w:hint="eastAsia" w:ascii="宋体" w:hAnsi="宋体" w:eastAsia="宋体" w:cs="Times New Roman"/>
          <w:b/>
          <w:sz w:val="24"/>
          <w:szCs w:val="24"/>
          <w:highlight w:val="none"/>
        </w:rPr>
        <w:t>（采购人名称）：</w:t>
      </w:r>
    </w:p>
    <w:p>
      <w:pPr>
        <w:rPr>
          <w:highlight w:val="none"/>
        </w:rPr>
      </w:pPr>
    </w:p>
    <w:p>
      <w:pPr>
        <w:spacing w:line="360" w:lineRule="auto"/>
        <w:ind w:firstLine="480" w:firstLineChars="200"/>
        <w:rPr>
          <w:rFonts w:asciiTheme="minorEastAsia"/>
          <w:sz w:val="24"/>
          <w:szCs w:val="24"/>
          <w:highlight w:val="none"/>
        </w:rPr>
      </w:pPr>
      <w:r>
        <w:rPr>
          <w:rFonts w:hint="eastAsia" w:asciiTheme="minorEastAsia" w:hAnsiTheme="minorEastAsia"/>
          <w:sz w:val="24"/>
          <w:szCs w:val="24"/>
          <w:highlight w:val="none"/>
        </w:rPr>
        <w:t>我方已仔细研究了贵单位组织实施的</w:t>
      </w:r>
      <w:r>
        <w:rPr>
          <w:rFonts w:ascii="宋体" w:hAnsi="宋体"/>
          <w:color w:val="000000"/>
          <w:kern w:val="0"/>
          <w:sz w:val="24"/>
          <w:highlight w:val="none"/>
          <w:u w:val="single"/>
        </w:rPr>
        <w:t>（项目名称</w:t>
      </w:r>
      <w:r>
        <w:rPr>
          <w:rFonts w:hint="eastAsia" w:ascii="宋体" w:hAnsi="宋体"/>
          <w:color w:val="000000"/>
          <w:sz w:val="24"/>
          <w:highlight w:val="none"/>
          <w:u w:val="single"/>
        </w:rPr>
        <w:t>、</w:t>
      </w:r>
      <w:r>
        <w:rPr>
          <w:rFonts w:ascii="宋体" w:hAnsi="宋体"/>
          <w:color w:val="000000"/>
          <w:kern w:val="0"/>
          <w:sz w:val="24"/>
          <w:highlight w:val="none"/>
          <w:u w:val="single"/>
        </w:rPr>
        <w:t>项目编号</w:t>
      </w:r>
      <w:r>
        <w:rPr>
          <w:rFonts w:hint="eastAsia" w:hAnsi="宋体"/>
          <w:color w:val="000000" w:themeColor="text1"/>
          <w:sz w:val="24"/>
          <w:szCs w:val="24"/>
          <w:highlight w:val="none"/>
          <w:u w:val="single"/>
          <w14:textFill>
            <w14:solidFill>
              <w14:schemeClr w14:val="tx1"/>
            </w14:solidFill>
          </w14:textFill>
        </w:rPr>
        <w:t>、项目包号</w:t>
      </w:r>
      <w:r>
        <w:rPr>
          <w:rFonts w:ascii="宋体" w:hAnsi="宋体"/>
          <w:color w:val="000000"/>
          <w:kern w:val="0"/>
          <w:sz w:val="24"/>
          <w:highlight w:val="none"/>
          <w:u w:val="single"/>
        </w:rPr>
        <w:t>）</w:t>
      </w:r>
      <w:r>
        <w:rPr>
          <w:rFonts w:hint="eastAsia" w:asciiTheme="minorEastAsia" w:hAnsiTheme="minorEastAsia"/>
          <w:sz w:val="24"/>
          <w:szCs w:val="24"/>
          <w:highlight w:val="none"/>
        </w:rPr>
        <w:t>竞争性谈判文件的全部内容（含更正文件，如有），在此就本项目响应主体做如下声明：</w:t>
      </w:r>
    </w:p>
    <w:p>
      <w:pPr>
        <w:spacing w:line="360" w:lineRule="auto"/>
        <w:rPr>
          <w:sz w:val="24"/>
          <w:szCs w:val="24"/>
          <w:highlight w:val="none"/>
        </w:rPr>
      </w:pPr>
    </w:p>
    <w:p>
      <w:pPr>
        <w:spacing w:line="360" w:lineRule="auto"/>
        <w:ind w:firstLine="480" w:firstLineChars="200"/>
        <w:rPr>
          <w:rFonts w:asciiTheme="minorEastAsia"/>
          <w:sz w:val="24"/>
          <w:szCs w:val="24"/>
          <w:highlight w:val="none"/>
        </w:rPr>
      </w:pPr>
      <w:r>
        <w:rPr>
          <w:rFonts w:hint="eastAsia" w:asciiTheme="minorEastAsia" w:hAnsiTheme="minorEastAsia"/>
          <w:sz w:val="24"/>
          <w:szCs w:val="24"/>
          <w:highlight w:val="none"/>
        </w:rPr>
        <w:t>我公司以独立供应商的身份参与本项目磋商，具体详见我公司营业执照及本响应文件盖章供应商名称，故非联合体参与磋商。</w:t>
      </w:r>
    </w:p>
    <w:p>
      <w:pPr>
        <w:spacing w:line="360" w:lineRule="auto"/>
        <w:rPr>
          <w:sz w:val="24"/>
          <w:szCs w:val="24"/>
          <w:highlight w:val="none"/>
        </w:rPr>
      </w:pPr>
    </w:p>
    <w:p>
      <w:pPr>
        <w:spacing w:line="360" w:lineRule="auto"/>
        <w:ind w:firstLine="480" w:firstLineChars="200"/>
        <w:rPr>
          <w:rFonts w:asciiTheme="minorEastAsia"/>
          <w:sz w:val="24"/>
          <w:szCs w:val="24"/>
          <w:highlight w:val="none"/>
        </w:rPr>
      </w:pPr>
      <w:r>
        <w:rPr>
          <w:rFonts w:hint="eastAsia" w:asciiTheme="minorEastAsia" w:hAnsiTheme="minorEastAsia"/>
          <w:sz w:val="24"/>
          <w:szCs w:val="24"/>
          <w:highlight w:val="none"/>
        </w:rPr>
        <w:t>特此声明！</w:t>
      </w:r>
    </w:p>
    <w:p>
      <w:pPr>
        <w:rPr>
          <w:rFonts w:ascii="宋体"/>
          <w:color w:val="000000"/>
          <w:szCs w:val="21"/>
          <w:highlight w:val="none"/>
        </w:rPr>
      </w:pPr>
    </w:p>
    <w:p>
      <w:pPr>
        <w:rPr>
          <w:rFonts w:ascii="宋体"/>
          <w:color w:val="000000"/>
          <w:szCs w:val="21"/>
          <w:highlight w:val="none"/>
        </w:rPr>
      </w:pPr>
    </w:p>
    <w:p>
      <w:pPr>
        <w:rPr>
          <w:rFonts w:ascii="宋体"/>
          <w:color w:val="000000"/>
          <w:szCs w:val="21"/>
          <w:highlight w:val="none"/>
        </w:rPr>
      </w:pPr>
    </w:p>
    <w:p>
      <w:pPr>
        <w:spacing w:line="480" w:lineRule="auto"/>
        <w:ind w:firstLine="2880" w:firstLineChars="1200"/>
        <w:rPr>
          <w:rFonts w:ascii="宋体"/>
          <w:color w:val="000000"/>
          <w:sz w:val="24"/>
          <w:highlight w:val="none"/>
        </w:rPr>
      </w:pPr>
      <w:r>
        <w:rPr>
          <w:rFonts w:hint="eastAsia" w:ascii="宋体" w:hAnsi="宋体"/>
          <w:color w:val="000000"/>
          <w:sz w:val="24"/>
          <w:highlight w:val="none"/>
        </w:rPr>
        <w:t>供应商：</w:t>
      </w:r>
      <w:r>
        <w:rPr>
          <w:rFonts w:hint="eastAsia" w:ascii="宋体" w:hAnsi="宋体"/>
          <w:color w:val="000000"/>
          <w:sz w:val="24"/>
          <w:highlight w:val="none"/>
          <w:u w:val="single"/>
        </w:rPr>
        <w:t>　　　　　　　　　　　　　　　　　</w:t>
      </w:r>
      <w:r>
        <w:rPr>
          <w:rFonts w:hint="eastAsia" w:ascii="宋体" w:hAnsi="宋体"/>
          <w:color w:val="000000"/>
          <w:sz w:val="24"/>
          <w:highlight w:val="none"/>
        </w:rPr>
        <w:t>（公章）</w:t>
      </w:r>
    </w:p>
    <w:p>
      <w:pPr>
        <w:spacing w:line="480" w:lineRule="auto"/>
        <w:ind w:firstLine="2880" w:firstLineChars="1200"/>
        <w:rPr>
          <w:rFonts w:ascii="宋体"/>
          <w:color w:val="000000"/>
          <w:sz w:val="24"/>
          <w:highlight w:val="none"/>
          <w:u w:val="single"/>
        </w:rPr>
      </w:pPr>
      <w:r>
        <w:rPr>
          <w:rFonts w:hint="eastAsia" w:ascii="宋体" w:hAnsi="宋体"/>
          <w:color w:val="000000"/>
          <w:sz w:val="24"/>
          <w:highlight w:val="none"/>
        </w:rPr>
        <w:t>法定代表人或其委托代理人：</w:t>
      </w:r>
      <w:r>
        <w:rPr>
          <w:rFonts w:hint="eastAsia" w:ascii="宋体" w:hAnsi="宋体"/>
          <w:color w:val="000000"/>
          <w:sz w:val="24"/>
          <w:highlight w:val="none"/>
          <w:u w:val="single"/>
        </w:rPr>
        <w:t>　　　　　</w:t>
      </w:r>
      <w:r>
        <w:rPr>
          <w:rFonts w:hint="eastAsia" w:ascii="宋体" w:hAnsi="宋体"/>
          <w:color w:val="000000"/>
          <w:sz w:val="24"/>
          <w:highlight w:val="none"/>
        </w:rPr>
        <w:t>（签名或盖章）</w:t>
      </w:r>
    </w:p>
    <w:p>
      <w:pPr>
        <w:spacing w:line="480" w:lineRule="auto"/>
        <w:ind w:firstLine="2880" w:firstLineChars="1200"/>
        <w:rPr>
          <w:rFonts w:ascii="宋体" w:hAnsi="宋体"/>
          <w:color w:val="000000"/>
          <w:sz w:val="24"/>
          <w:highlight w:val="none"/>
        </w:rPr>
      </w:pPr>
      <w:r>
        <w:rPr>
          <w:rFonts w:hint="eastAsia" w:ascii="宋体" w:hAnsi="宋体"/>
          <w:color w:val="000000"/>
          <w:sz w:val="24"/>
          <w:highlight w:val="none"/>
        </w:rPr>
        <w:t>日期：</w:t>
      </w:r>
      <w:r>
        <w:rPr>
          <w:rFonts w:hint="eastAsia" w:ascii="宋体" w:hAnsi="宋体"/>
          <w:color w:val="000000"/>
          <w:sz w:val="24"/>
          <w:highlight w:val="none"/>
          <w:u w:val="single"/>
        </w:rPr>
        <w:t>　　　　　</w:t>
      </w:r>
      <w:r>
        <w:rPr>
          <w:rFonts w:hint="eastAsia" w:ascii="宋体" w:hAnsi="宋体"/>
          <w:color w:val="000000"/>
          <w:sz w:val="24"/>
          <w:highlight w:val="none"/>
        </w:rPr>
        <w:t>年</w:t>
      </w:r>
      <w:r>
        <w:rPr>
          <w:rFonts w:hint="eastAsia" w:ascii="宋体" w:hAnsi="宋体"/>
          <w:color w:val="000000"/>
          <w:sz w:val="24"/>
          <w:highlight w:val="none"/>
          <w:u w:val="single"/>
        </w:rPr>
        <w:t>　　</w:t>
      </w:r>
      <w:r>
        <w:rPr>
          <w:rFonts w:hint="eastAsia" w:ascii="宋体" w:hAnsi="宋体"/>
          <w:color w:val="000000"/>
          <w:sz w:val="24"/>
          <w:highlight w:val="none"/>
        </w:rPr>
        <w:t>月</w:t>
      </w:r>
      <w:r>
        <w:rPr>
          <w:rFonts w:hint="eastAsia" w:ascii="宋体" w:hAnsi="宋体"/>
          <w:color w:val="000000"/>
          <w:sz w:val="24"/>
          <w:highlight w:val="none"/>
          <w:u w:val="single"/>
        </w:rPr>
        <w:t>　　</w:t>
      </w:r>
      <w:r>
        <w:rPr>
          <w:rFonts w:hint="eastAsia" w:ascii="宋体" w:hAnsi="宋体"/>
          <w:color w:val="000000"/>
          <w:sz w:val="24"/>
          <w:highlight w:val="none"/>
        </w:rPr>
        <w:t>日</w:t>
      </w:r>
    </w:p>
    <w:p>
      <w:pPr>
        <w:widowControl/>
        <w:jc w:val="left"/>
        <w:rPr>
          <w:rFonts w:eastAsia="黑体"/>
          <w:b/>
          <w:iCs/>
          <w:color w:val="000000" w:themeColor="text1"/>
          <w:kern w:val="0"/>
          <w:sz w:val="28"/>
          <w:highlight w:val="none"/>
          <w14:textFill>
            <w14:solidFill>
              <w14:schemeClr w14:val="tx1"/>
            </w14:solidFill>
          </w14:textFill>
        </w:rPr>
      </w:pPr>
      <w:r>
        <w:rPr>
          <w:rFonts w:eastAsia="黑体"/>
          <w:b/>
          <w:iCs/>
          <w:color w:val="000000" w:themeColor="text1"/>
          <w:kern w:val="0"/>
          <w:sz w:val="28"/>
          <w:highlight w:val="none"/>
          <w14:textFill>
            <w14:solidFill>
              <w14:schemeClr w14:val="tx1"/>
            </w14:solidFill>
          </w14:textFill>
        </w:rPr>
        <w:br w:type="page"/>
      </w:r>
    </w:p>
    <w:p>
      <w:pPr>
        <w:pStyle w:val="4"/>
        <w:jc w:val="center"/>
        <w:rPr>
          <w:sz w:val="36"/>
          <w:szCs w:val="36"/>
          <w:highlight w:val="none"/>
        </w:rPr>
      </w:pPr>
      <w:bookmarkStart w:id="205" w:name="_Toc65158823"/>
      <w:r>
        <w:rPr>
          <w:rFonts w:hint="eastAsia"/>
          <w:sz w:val="36"/>
          <w:szCs w:val="36"/>
          <w:highlight w:val="none"/>
        </w:rPr>
        <w:t>技术服务</w:t>
      </w:r>
      <w:bookmarkEnd w:id="195"/>
      <w:bookmarkEnd w:id="196"/>
      <w:bookmarkEnd w:id="197"/>
      <w:bookmarkEnd w:id="198"/>
      <w:bookmarkEnd w:id="199"/>
      <w:r>
        <w:rPr>
          <w:rFonts w:hint="eastAsia"/>
          <w:sz w:val="36"/>
          <w:szCs w:val="36"/>
          <w:highlight w:val="none"/>
        </w:rPr>
        <w:t>文件</w:t>
      </w:r>
      <w:bookmarkEnd w:id="205"/>
    </w:p>
    <w:p>
      <w:pPr>
        <w:rPr>
          <w:highlight w:val="none"/>
        </w:rPr>
      </w:pPr>
    </w:p>
    <w:p>
      <w:pPr>
        <w:autoSpaceDE w:val="0"/>
        <w:autoSpaceDN w:val="0"/>
        <w:adjustRightInd w:val="0"/>
        <w:spacing w:line="360" w:lineRule="auto"/>
        <w:ind w:firstLine="480" w:firstLineChars="200"/>
        <w:rPr>
          <w:rFonts w:ascii="宋体" w:hAnsi="宋体" w:eastAsia="宋体" w:cs="Times New Roman"/>
          <w:color w:val="0D0D0D"/>
          <w:kern w:val="0"/>
          <w:sz w:val="24"/>
          <w:szCs w:val="32"/>
          <w:highlight w:val="none"/>
        </w:rPr>
      </w:pPr>
      <w:r>
        <w:rPr>
          <w:rFonts w:hint="eastAsia" w:ascii="宋体" w:hAnsi="宋体" w:eastAsia="宋体" w:cs="Times New Roman"/>
          <w:color w:val="0D0D0D"/>
          <w:kern w:val="0"/>
          <w:sz w:val="24"/>
          <w:szCs w:val="32"/>
          <w:highlight w:val="none"/>
        </w:rPr>
        <w:t>由各供应商根据参考格式要求自行编写。内容详尽、易于理解和评审并富有建设性的技术、服务方案在评审时具有优势。</w:t>
      </w:r>
    </w:p>
    <w:p>
      <w:pPr>
        <w:rPr>
          <w:highlight w:val="none"/>
        </w:rPr>
      </w:pPr>
    </w:p>
    <w:p>
      <w:pPr>
        <w:autoSpaceDE w:val="0"/>
        <w:autoSpaceDN w:val="0"/>
        <w:adjustRightInd w:val="0"/>
        <w:spacing w:line="360" w:lineRule="auto"/>
        <w:ind w:left="663" w:hanging="663" w:hangingChars="275"/>
        <w:rPr>
          <w:highlight w:val="none"/>
          <w:lang w:eastAsia="zh-CN"/>
        </w:rPr>
      </w:pPr>
      <w:r>
        <w:rPr>
          <w:rFonts w:hint="eastAsia" w:ascii="宋体" w:hAnsi="宋体" w:eastAsia="宋体" w:cs="Times New Roman"/>
          <w:b/>
          <w:color w:val="0D0D0D"/>
          <w:kern w:val="0"/>
          <w:sz w:val="24"/>
          <w:szCs w:val="32"/>
          <w:highlight w:val="none"/>
        </w:rPr>
        <w:t>说明：</w:t>
      </w:r>
      <w:r>
        <w:rPr>
          <w:rFonts w:hint="eastAsia" w:ascii="宋体" w:hAnsi="宋体" w:eastAsia="宋体" w:cs="Times New Roman"/>
          <w:color w:val="0D0D0D"/>
          <w:kern w:val="0"/>
          <w:sz w:val="24"/>
          <w:szCs w:val="32"/>
          <w:highlight w:val="none"/>
        </w:rPr>
        <w:t>技术服务文件的编制原则，一是按竞争性磋商文件要求，提供相应说明、资料、表格以证明所投服务是否响应竞争性磋商文件要求；二是对应评分标准的技术部分要求，充分体现所投服务对于评分标准的响应程度。</w:t>
      </w:r>
    </w:p>
    <w:p>
      <w:pPr>
        <w:widowControl/>
        <w:jc w:val="left"/>
        <w:rPr>
          <w:rFonts w:ascii="Times New Roman" w:hAnsi="Times New Roman" w:eastAsia="黑体"/>
          <w:bCs/>
          <w:kern w:val="44"/>
          <w:sz w:val="36"/>
          <w:szCs w:val="36"/>
          <w:highlight w:val="none"/>
        </w:rPr>
      </w:pPr>
      <w:r>
        <w:rPr>
          <w:sz w:val="36"/>
          <w:szCs w:val="36"/>
          <w:highlight w:val="none"/>
        </w:rPr>
        <w:br w:type="page"/>
      </w:r>
    </w:p>
    <w:p>
      <w:pPr>
        <w:pStyle w:val="3"/>
        <w:jc w:val="center"/>
        <w:rPr>
          <w:sz w:val="36"/>
          <w:szCs w:val="36"/>
          <w:highlight w:val="none"/>
        </w:rPr>
      </w:pPr>
      <w:bookmarkStart w:id="206" w:name="_Toc65158824"/>
      <w:bookmarkStart w:id="207" w:name="_Toc57652198"/>
      <w:bookmarkStart w:id="208" w:name="_Toc38457877"/>
      <w:r>
        <w:rPr>
          <w:rFonts w:hint="eastAsia"/>
          <w:sz w:val="36"/>
          <w:szCs w:val="36"/>
          <w:highlight w:val="none"/>
        </w:rPr>
        <w:t>相关附件及要求</w:t>
      </w:r>
      <w:bookmarkEnd w:id="206"/>
      <w:bookmarkEnd w:id="207"/>
    </w:p>
    <w:p>
      <w:pPr>
        <w:jc w:val="center"/>
        <w:rPr>
          <w:rFonts w:hint="eastAsia" w:ascii="宋体" w:hAnsi="宋体" w:eastAsia="宋体"/>
          <w:b/>
          <w:sz w:val="30"/>
          <w:szCs w:val="30"/>
          <w:highlight w:val="none"/>
        </w:rPr>
      </w:pPr>
      <w:r>
        <w:rPr>
          <w:rFonts w:hint="eastAsia" w:ascii="宋体" w:hAnsi="宋体" w:eastAsia="宋体"/>
          <w:b/>
          <w:sz w:val="30"/>
          <w:szCs w:val="30"/>
          <w:highlight w:val="none"/>
        </w:rPr>
        <w:t>中小企业声明函（货物）</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本公司</w:t>
      </w:r>
      <w:r>
        <w:rPr>
          <w:rFonts w:hint="eastAsia" w:ascii="宋体" w:hAnsi="宋体" w:eastAsia="宋体" w:cs="宋体"/>
          <w:sz w:val="28"/>
          <w:szCs w:val="28"/>
          <w:highlight w:val="none"/>
        </w:rPr>
        <w:t>（联合体</w:t>
      </w:r>
      <w:r>
        <w:rPr>
          <w:rFonts w:hint="eastAsia" w:ascii="宋体" w:hAnsi="宋体" w:eastAsia="宋体" w:cs="宋体"/>
          <w:spacing w:val="-5"/>
          <w:sz w:val="28"/>
          <w:szCs w:val="28"/>
          <w:highlight w:val="none"/>
        </w:rPr>
        <w:t>）</w:t>
      </w:r>
      <w:r>
        <w:rPr>
          <w:rFonts w:hint="eastAsia" w:ascii="宋体" w:hAnsi="宋体" w:eastAsia="宋体" w:cs="宋体"/>
          <w:spacing w:val="-2"/>
          <w:sz w:val="28"/>
          <w:szCs w:val="28"/>
          <w:highlight w:val="none"/>
        </w:rPr>
        <w:t>郑重声明，根据《政府采购促进中小</w:t>
      </w:r>
      <w:r>
        <w:rPr>
          <w:rFonts w:hint="eastAsia" w:ascii="宋体" w:hAnsi="宋体" w:eastAsia="宋体" w:cs="宋体"/>
          <w:spacing w:val="-18"/>
          <w:sz w:val="28"/>
          <w:szCs w:val="28"/>
          <w:highlight w:val="none"/>
        </w:rPr>
        <w:t>企业发展管理办法》</w:t>
      </w:r>
      <w:r>
        <w:rPr>
          <w:rFonts w:hint="eastAsia" w:ascii="宋体" w:hAnsi="宋体" w:eastAsia="宋体" w:cs="宋体"/>
          <w:sz w:val="28"/>
          <w:szCs w:val="28"/>
          <w:highlight w:val="none"/>
        </w:rPr>
        <w:t>（</w:t>
      </w:r>
      <w:r>
        <w:rPr>
          <w:rFonts w:hint="eastAsia" w:ascii="宋体" w:hAnsi="宋体" w:eastAsia="宋体" w:cs="宋体"/>
          <w:spacing w:val="5"/>
          <w:sz w:val="28"/>
          <w:szCs w:val="28"/>
          <w:highlight w:val="none"/>
        </w:rPr>
        <w:t>财库</w:t>
      </w:r>
      <w:r>
        <w:rPr>
          <w:rFonts w:hint="eastAsia" w:ascii="宋体" w:hAnsi="宋体" w:eastAsia="宋体" w:cs="宋体"/>
          <w:sz w:val="28"/>
          <w:szCs w:val="28"/>
          <w:highlight w:val="none"/>
        </w:rPr>
        <w:t>﹝2020﹞46</w:t>
      </w:r>
      <w:r>
        <w:rPr>
          <w:rFonts w:hint="eastAsia" w:ascii="宋体" w:hAnsi="宋体" w:eastAsia="宋体" w:cs="宋体"/>
          <w:spacing w:val="-38"/>
          <w:sz w:val="28"/>
          <w:szCs w:val="28"/>
          <w:highlight w:val="none"/>
        </w:rPr>
        <w:t xml:space="preserve"> 号</w:t>
      </w:r>
      <w:r>
        <w:rPr>
          <w:rFonts w:hint="eastAsia" w:ascii="宋体" w:hAnsi="宋体" w:eastAsia="宋体" w:cs="宋体"/>
          <w:spacing w:val="5"/>
          <w:sz w:val="28"/>
          <w:szCs w:val="28"/>
          <w:highlight w:val="none"/>
        </w:rPr>
        <w:t>）</w:t>
      </w:r>
      <w:r>
        <w:rPr>
          <w:rFonts w:hint="eastAsia" w:ascii="宋体" w:hAnsi="宋体" w:eastAsia="宋体" w:cs="宋体"/>
          <w:sz w:val="28"/>
          <w:szCs w:val="28"/>
          <w:highlight w:val="none"/>
        </w:rPr>
        <w:t>的规定，本公司（联合体）</w:t>
      </w:r>
      <w:r>
        <w:rPr>
          <w:rFonts w:hint="eastAsia" w:ascii="宋体" w:hAnsi="宋体" w:eastAsia="宋体" w:cs="宋体"/>
          <w:spacing w:val="-8"/>
          <w:sz w:val="28"/>
          <w:szCs w:val="28"/>
          <w:highlight w:val="none"/>
        </w:rPr>
        <w:t>参加</w:t>
      </w:r>
      <w:r>
        <w:rPr>
          <w:rFonts w:hint="eastAsia" w:ascii="宋体" w:hAnsi="宋体" w:eastAsia="宋体" w:cs="宋体"/>
          <w:spacing w:val="-8"/>
          <w:sz w:val="28"/>
          <w:szCs w:val="28"/>
          <w:highlight w:val="none"/>
          <w:u w:val="single"/>
          <w:lang w:eastAsia="zh-CN"/>
        </w:rPr>
        <w:t>（单位名称）</w:t>
      </w:r>
      <w:r>
        <w:rPr>
          <w:rFonts w:hint="eastAsia" w:ascii="宋体" w:hAnsi="宋体" w:eastAsia="宋体" w:cs="宋体"/>
          <w:spacing w:val="-8"/>
          <w:sz w:val="28"/>
          <w:szCs w:val="28"/>
          <w:highlight w:val="none"/>
          <w:u w:val="none"/>
          <w:lang w:eastAsia="zh-CN"/>
        </w:rPr>
        <w:t>的</w:t>
      </w:r>
      <w:r>
        <w:rPr>
          <w:rFonts w:hint="eastAsia" w:ascii="宋体" w:hAnsi="宋体" w:eastAsia="宋体" w:cs="宋体"/>
          <w:spacing w:val="-8"/>
          <w:sz w:val="28"/>
          <w:szCs w:val="28"/>
          <w:highlight w:val="none"/>
          <w:u w:val="single"/>
          <w:lang w:eastAsia="zh-CN"/>
        </w:rPr>
        <w:t>（项目名称）</w:t>
      </w:r>
      <w:r>
        <w:rPr>
          <w:rFonts w:hint="eastAsia" w:ascii="宋体" w:hAnsi="宋体" w:eastAsia="宋体" w:cs="宋体"/>
          <w:spacing w:val="-1"/>
          <w:sz w:val="28"/>
          <w:szCs w:val="28"/>
          <w:highlight w:val="none"/>
        </w:rPr>
        <w:t>采购活动，</w:t>
      </w:r>
      <w:r>
        <w:rPr>
          <w:rFonts w:hint="eastAsia" w:ascii="宋体" w:hAnsi="宋体" w:eastAsia="宋体" w:cs="宋体"/>
          <w:sz w:val="28"/>
          <w:szCs w:val="28"/>
          <w:highlight w:val="none"/>
        </w:rPr>
        <w:t>提供的货物全部由符合政策要求</w:t>
      </w:r>
      <w:r>
        <w:rPr>
          <w:rFonts w:hint="eastAsia" w:ascii="宋体" w:hAnsi="宋体" w:eastAsia="宋体" w:cs="宋体"/>
          <w:spacing w:val="-2"/>
          <w:sz w:val="28"/>
          <w:szCs w:val="28"/>
          <w:highlight w:val="none"/>
        </w:rPr>
        <w:t>的中小企业制造。相关企业（含联合体中的中小企业、签订分包意向协议的中小企业）的具体情况如下：</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lang w:val="en-US" w:eastAsia="zh-CN"/>
        </w:rPr>
        <w:t>1.</w:t>
      </w:r>
      <w:r>
        <w:rPr>
          <w:rFonts w:hint="eastAsia" w:ascii="宋体" w:hAnsi="宋体" w:eastAsia="宋体" w:cs="宋体"/>
          <w:spacing w:val="-2"/>
          <w:sz w:val="28"/>
          <w:szCs w:val="28"/>
          <w:highlight w:val="none"/>
          <w:u w:val="single"/>
          <w:lang w:eastAsia="zh-CN"/>
        </w:rPr>
        <w:t>（标</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的</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名</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称）</w:t>
      </w:r>
      <w:r>
        <w:rPr>
          <w:rFonts w:hint="eastAsia" w:ascii="宋体" w:hAnsi="宋体" w:eastAsia="宋体" w:cs="宋体"/>
          <w:spacing w:val="-2"/>
          <w:sz w:val="28"/>
          <w:szCs w:val="28"/>
          <w:highlight w:val="none"/>
        </w:rPr>
        <w:t>，</w:t>
      </w:r>
      <w:r>
        <w:rPr>
          <w:rFonts w:hint="eastAsia" w:ascii="宋体" w:hAnsi="宋体" w:eastAsia="宋体" w:cs="宋体"/>
          <w:spacing w:val="-2"/>
          <w:sz w:val="28"/>
          <w:szCs w:val="28"/>
          <w:highlight w:val="none"/>
          <w:lang w:eastAsia="zh-CN"/>
        </w:rPr>
        <w:t>属于</w:t>
      </w:r>
      <w:r>
        <w:rPr>
          <w:rFonts w:hint="eastAsia" w:ascii="宋体" w:hAnsi="宋体" w:eastAsia="宋体" w:cs="宋体"/>
          <w:spacing w:val="-2"/>
          <w:sz w:val="28"/>
          <w:szCs w:val="28"/>
          <w:highlight w:val="none"/>
          <w:u w:val="single"/>
          <w:lang w:eastAsia="zh-CN"/>
        </w:rPr>
        <w:t>（采购文件中明确的所属行业）行业</w:t>
      </w:r>
      <w:r>
        <w:rPr>
          <w:rFonts w:hint="eastAsia" w:ascii="宋体" w:hAnsi="宋体" w:eastAsia="宋体" w:cs="宋体"/>
          <w:spacing w:val="-2"/>
          <w:sz w:val="28"/>
          <w:szCs w:val="28"/>
          <w:highlight w:val="none"/>
          <w:lang w:eastAsia="zh-CN"/>
        </w:rPr>
        <w:t>；制造商为</w:t>
      </w:r>
      <w:r>
        <w:rPr>
          <w:rFonts w:hint="eastAsia" w:ascii="宋体" w:hAnsi="宋体" w:eastAsia="宋体" w:cs="宋体"/>
          <w:spacing w:val="-2"/>
          <w:sz w:val="28"/>
          <w:szCs w:val="28"/>
          <w:highlight w:val="none"/>
          <w:u w:val="single"/>
          <w:lang w:eastAsia="zh-CN"/>
        </w:rPr>
        <w:t>（企业名称）</w:t>
      </w:r>
      <w:r>
        <w:rPr>
          <w:rFonts w:hint="eastAsia" w:ascii="宋体" w:hAnsi="宋体" w:eastAsia="宋体" w:cs="宋体"/>
          <w:spacing w:val="-2"/>
          <w:sz w:val="28"/>
          <w:szCs w:val="28"/>
          <w:highlight w:val="none"/>
          <w:lang w:eastAsia="zh-CN"/>
        </w:rPr>
        <w:t>，从业人员</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lang w:val="en-US" w:eastAsia="zh-CN"/>
        </w:rPr>
        <w:t>人，营业收入为</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lang w:val="en-US" w:eastAsia="zh-CN"/>
        </w:rPr>
        <w:t>万元，资产总额为</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lang w:val="en-US" w:eastAsia="zh-CN"/>
        </w:rPr>
        <w:t>万元，</w:t>
      </w:r>
      <w:r>
        <w:rPr>
          <w:rFonts w:hint="eastAsia" w:ascii="宋体" w:hAnsi="宋体" w:eastAsia="宋体" w:cs="宋体"/>
          <w:spacing w:val="-2"/>
          <w:sz w:val="28"/>
          <w:szCs w:val="28"/>
          <w:highlight w:val="none"/>
          <w:u w:val="single"/>
          <w:lang w:val="en-US" w:eastAsia="zh-CN"/>
        </w:rPr>
        <w:t>属于（中型企业、小型企业、微型企业）</w:t>
      </w:r>
      <w:r>
        <w:rPr>
          <w:rFonts w:hint="eastAsia" w:ascii="宋体" w:hAnsi="宋体" w:eastAsia="宋体" w:cs="宋体"/>
          <w:spacing w:val="-2"/>
          <w:sz w:val="28"/>
          <w:szCs w:val="28"/>
          <w:highlight w:val="none"/>
          <w:lang w:val="en-US" w:eastAsia="zh-CN"/>
        </w:rPr>
        <w:t>；</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lang w:val="en-US" w:eastAsia="zh-CN"/>
        </w:rPr>
        <w:t>2.</w:t>
      </w:r>
      <w:r>
        <w:rPr>
          <w:rFonts w:hint="eastAsia" w:ascii="宋体" w:hAnsi="宋体" w:eastAsia="宋体" w:cs="宋体"/>
          <w:spacing w:val="-2"/>
          <w:sz w:val="28"/>
          <w:szCs w:val="28"/>
          <w:highlight w:val="none"/>
          <w:u w:val="single"/>
          <w:lang w:eastAsia="zh-CN"/>
        </w:rPr>
        <w:t>（标</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的</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名</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称）</w:t>
      </w:r>
      <w:r>
        <w:rPr>
          <w:rFonts w:hint="eastAsia" w:ascii="宋体" w:hAnsi="宋体" w:eastAsia="宋体" w:cs="宋体"/>
          <w:spacing w:val="-2"/>
          <w:sz w:val="28"/>
          <w:szCs w:val="28"/>
          <w:highlight w:val="none"/>
        </w:rPr>
        <w:t>，属于</w:t>
      </w:r>
      <w:r>
        <w:rPr>
          <w:rFonts w:hint="eastAsia" w:ascii="宋体" w:hAnsi="宋体" w:eastAsia="宋体" w:cs="宋体"/>
          <w:spacing w:val="-2"/>
          <w:sz w:val="28"/>
          <w:szCs w:val="28"/>
          <w:highlight w:val="none"/>
          <w:u w:val="single"/>
        </w:rPr>
        <w:t>（采购文件中明确的所属行业）行业</w:t>
      </w:r>
      <w:r>
        <w:rPr>
          <w:rFonts w:hint="eastAsia" w:ascii="宋体" w:hAnsi="宋体" w:eastAsia="宋体" w:cs="宋体"/>
          <w:spacing w:val="-2"/>
          <w:sz w:val="28"/>
          <w:szCs w:val="28"/>
          <w:highlight w:val="none"/>
        </w:rPr>
        <w:t>；制造商为</w:t>
      </w:r>
      <w:r>
        <w:rPr>
          <w:rFonts w:hint="eastAsia" w:ascii="宋体" w:hAnsi="宋体" w:eastAsia="宋体" w:cs="宋体"/>
          <w:spacing w:val="-2"/>
          <w:sz w:val="28"/>
          <w:szCs w:val="28"/>
          <w:highlight w:val="none"/>
          <w:u w:val="single"/>
        </w:rPr>
        <w:t>（企业名称）</w:t>
      </w:r>
      <w:r>
        <w:rPr>
          <w:rFonts w:hint="eastAsia" w:ascii="宋体" w:hAnsi="宋体" w:eastAsia="宋体" w:cs="宋体"/>
          <w:spacing w:val="-2"/>
          <w:sz w:val="28"/>
          <w:szCs w:val="28"/>
          <w:highlight w:val="none"/>
        </w:rPr>
        <w:t>，从业人员</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rPr>
        <w:t>人，营业收入为</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rPr>
        <w:t>万元，资产总额为</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rPr>
        <w:t>万元，属于</w:t>
      </w:r>
      <w:r>
        <w:rPr>
          <w:rFonts w:hint="eastAsia" w:ascii="宋体" w:hAnsi="宋体" w:eastAsia="宋体" w:cs="宋体"/>
          <w:spacing w:val="-2"/>
          <w:sz w:val="28"/>
          <w:szCs w:val="28"/>
          <w:highlight w:val="none"/>
          <w:u w:val="single"/>
        </w:rPr>
        <w:t>（中型企业、小型 企业、微型企业）</w:t>
      </w:r>
      <w:r>
        <w:rPr>
          <w:rFonts w:hint="eastAsia" w:ascii="宋体" w:hAnsi="宋体" w:eastAsia="宋体" w:cs="宋体"/>
          <w:spacing w:val="-2"/>
          <w:sz w:val="28"/>
          <w:szCs w:val="28"/>
          <w:highlight w:val="none"/>
        </w:rPr>
        <w:t>；</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以上企业，不属于大企业的分支机构，不存在控股股东为大企业的情形，也不存在与大企业的负责人为同一人的情 形。</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本企业对上述声明内容的真实性负责。如有虚假，将依 法承担相应责任。</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lang w:eastAsia="zh-CN"/>
        </w:rPr>
      </w:pPr>
      <w:r>
        <w:rPr>
          <w:rFonts w:hint="eastAsia" w:ascii="宋体" w:hAnsi="宋体" w:eastAsia="宋体" w:cs="宋体"/>
          <w:spacing w:val="-2"/>
          <w:sz w:val="28"/>
          <w:szCs w:val="28"/>
          <w:highlight w:val="none"/>
          <w:lang w:eastAsia="zh-CN"/>
        </w:rPr>
        <w:t>企业名称（盖章）：</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日期：</w:t>
      </w:r>
    </w:p>
    <w:p>
      <w:pPr>
        <w:spacing w:line="480" w:lineRule="auto"/>
        <w:rPr>
          <w:rFonts w:ascii="宋体"/>
          <w:b/>
          <w:bCs/>
          <w:color w:val="000000" w:themeColor="text1"/>
          <w:sz w:val="24"/>
          <w:highlight w:val="none"/>
          <w14:textFill>
            <w14:solidFill>
              <w14:schemeClr w14:val="tx1"/>
            </w14:solidFill>
          </w14:textFill>
        </w:rPr>
      </w:pPr>
      <w:r>
        <w:rPr>
          <w:rFonts w:hint="default" w:ascii="宋体" w:hAnsi="宋体" w:eastAsia="宋体" w:cs="宋体"/>
          <w:spacing w:val="-2"/>
          <w:sz w:val="18"/>
          <w:szCs w:val="18"/>
          <w:highlight w:val="none"/>
          <w:lang w:val="en-US" w:eastAsia="zh-CN"/>
        </w:rPr>
        <w:t>1</w:t>
      </w:r>
      <w:r>
        <w:rPr>
          <w:rFonts w:hint="eastAsia" w:ascii="宋体" w:hAnsi="宋体" w:eastAsia="宋体" w:cs="宋体"/>
          <w:spacing w:val="-2"/>
          <w:sz w:val="18"/>
          <w:szCs w:val="18"/>
          <w:highlight w:val="none"/>
          <w:lang w:val="en-US" w:eastAsia="zh-CN"/>
        </w:rPr>
        <w:t>从</w:t>
      </w:r>
      <w:r>
        <w:rPr>
          <w:rFonts w:hint="eastAsia" w:ascii="宋体" w:hAnsi="宋体" w:eastAsia="宋体" w:cs="宋体"/>
          <w:spacing w:val="-2"/>
          <w:sz w:val="18"/>
          <w:szCs w:val="18"/>
          <w:highlight w:val="none"/>
          <w:lang w:eastAsia="zh-CN"/>
        </w:rPr>
        <w:t>业人员、营业收入、资产总额填报上一年度数据，无上一年度数据的新成立企业可不填报。</w:t>
      </w:r>
    </w:p>
    <w:p>
      <w:pPr>
        <w:rPr>
          <w:highlight w:val="none"/>
        </w:rPr>
      </w:pPr>
    </w:p>
    <w:p>
      <w:pPr>
        <w:rPr>
          <w:highlight w:val="none"/>
          <w:lang w:eastAsia="zh-CN"/>
        </w:rPr>
        <w:sectPr>
          <w:pgSz w:w="11907" w:h="16840"/>
          <w:pgMar w:top="1418" w:right="1418" w:bottom="1418" w:left="1588" w:header="851" w:footer="992" w:gutter="0"/>
          <w:pgNumType w:start="1"/>
          <w:cols w:space="425" w:num="1"/>
          <w:docGrid w:linePitch="312" w:charSpace="0"/>
        </w:sectPr>
      </w:pPr>
    </w:p>
    <w:p>
      <w:pPr>
        <w:jc w:val="center"/>
        <w:rPr>
          <w:rFonts w:ascii="宋体" w:hAnsi="宋体" w:eastAsia="宋体"/>
          <w:b/>
          <w:sz w:val="30"/>
          <w:szCs w:val="30"/>
          <w:highlight w:val="none"/>
        </w:rPr>
      </w:pPr>
      <w:r>
        <w:rPr>
          <w:rFonts w:hint="eastAsia" w:ascii="宋体" w:hAnsi="宋体" w:eastAsia="宋体"/>
          <w:b/>
          <w:sz w:val="30"/>
          <w:szCs w:val="30"/>
          <w:highlight w:val="none"/>
        </w:rPr>
        <w:t>中小企业划型标准</w:t>
      </w:r>
    </w:p>
    <w:tbl>
      <w:tblPr>
        <w:tblStyle w:val="32"/>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70"/>
        <w:gridCol w:w="1943"/>
        <w:gridCol w:w="1149"/>
        <w:gridCol w:w="882"/>
        <w:gridCol w:w="901"/>
        <w:gridCol w:w="1061"/>
        <w:gridCol w:w="901"/>
        <w:gridCol w:w="956"/>
        <w:gridCol w:w="1061"/>
        <w:gridCol w:w="918"/>
        <w:gridCol w:w="964"/>
        <w:gridCol w:w="1061"/>
        <w:gridCol w:w="939"/>
        <w:gridCol w:w="101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jc w:val="center"/>
        </w:trPr>
        <w:tc>
          <w:tcPr>
            <w:tcW w:w="165" w:type="pct"/>
            <w:vMerge w:val="restar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序号</w:t>
            </w:r>
          </w:p>
        </w:tc>
        <w:tc>
          <w:tcPr>
            <w:tcW w:w="683" w:type="pct"/>
            <w:vMerge w:val="restart"/>
            <w:shd w:val="clear" w:color="auto" w:fill="BEBEBE" w:themeFill="background1" w:themeFillShade="BF"/>
            <w:vAlign w:val="center"/>
          </w:tcPr>
          <w:p>
            <w:pPr>
              <w:jc w:val="center"/>
              <w:rPr>
                <w:rFonts w:ascii="宋体" w:hAnsi="宋体" w:eastAsia="宋体"/>
                <w:szCs w:val="21"/>
                <w:highlight w:val="none"/>
              </w:rPr>
            </w:pPr>
            <w:r>
              <w:rPr>
                <w:rFonts w:hint="eastAsia" w:ascii="宋体" w:hAnsi="宋体" w:eastAsia="宋体"/>
                <w:szCs w:val="21"/>
                <w:highlight w:val="none"/>
              </w:rPr>
              <w:t>行业</w:t>
            </w:r>
          </w:p>
        </w:tc>
        <w:tc>
          <w:tcPr>
            <w:tcW w:w="1031" w:type="pct"/>
            <w:gridSpan w:val="3"/>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大型企业</w:t>
            </w:r>
          </w:p>
        </w:tc>
        <w:tc>
          <w:tcPr>
            <w:tcW w:w="1026" w:type="pct"/>
            <w:gridSpan w:val="3"/>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中型企业</w:t>
            </w:r>
          </w:p>
        </w:tc>
        <w:tc>
          <w:tcPr>
            <w:tcW w:w="1035" w:type="pct"/>
            <w:gridSpan w:val="3"/>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小型企业</w:t>
            </w:r>
          </w:p>
        </w:tc>
        <w:tc>
          <w:tcPr>
            <w:tcW w:w="1060" w:type="pct"/>
            <w:gridSpan w:val="3"/>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微型企业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jc w:val="center"/>
        </w:trPr>
        <w:tc>
          <w:tcPr>
            <w:tcW w:w="165" w:type="pct"/>
            <w:vMerge w:val="continue"/>
            <w:shd w:val="clear" w:color="auto" w:fill="BEBEBE" w:themeFill="background1" w:themeFillShade="BF"/>
            <w:noWrap/>
            <w:vAlign w:val="center"/>
          </w:tcPr>
          <w:p>
            <w:pPr>
              <w:jc w:val="center"/>
              <w:rPr>
                <w:rFonts w:ascii="宋体" w:hAnsi="宋体" w:eastAsia="宋体"/>
                <w:szCs w:val="21"/>
                <w:highlight w:val="none"/>
              </w:rPr>
            </w:pPr>
          </w:p>
        </w:tc>
        <w:tc>
          <w:tcPr>
            <w:tcW w:w="683" w:type="pct"/>
            <w:vMerge w:val="continue"/>
            <w:shd w:val="clear" w:color="auto" w:fill="BEBEBE" w:themeFill="background1" w:themeFillShade="BF"/>
            <w:vAlign w:val="center"/>
          </w:tcPr>
          <w:p>
            <w:pPr>
              <w:jc w:val="center"/>
              <w:rPr>
                <w:rFonts w:ascii="宋体" w:hAnsi="宋体" w:eastAsia="宋体"/>
                <w:szCs w:val="21"/>
                <w:highlight w:val="none"/>
              </w:rPr>
            </w:pPr>
          </w:p>
        </w:tc>
        <w:tc>
          <w:tcPr>
            <w:tcW w:w="404"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营业收入（万元）</w:t>
            </w:r>
          </w:p>
        </w:tc>
        <w:tc>
          <w:tcPr>
            <w:tcW w:w="310"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从业人员（人）</w:t>
            </w:r>
          </w:p>
        </w:tc>
        <w:tc>
          <w:tcPr>
            <w:tcW w:w="317"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总资产（万元）</w:t>
            </w:r>
          </w:p>
        </w:tc>
        <w:tc>
          <w:tcPr>
            <w:tcW w:w="373"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营业收入（万元）</w:t>
            </w:r>
          </w:p>
        </w:tc>
        <w:tc>
          <w:tcPr>
            <w:tcW w:w="317"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从业人员（人）</w:t>
            </w:r>
          </w:p>
        </w:tc>
        <w:tc>
          <w:tcPr>
            <w:tcW w:w="336"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总资产（万元）</w:t>
            </w:r>
          </w:p>
        </w:tc>
        <w:tc>
          <w:tcPr>
            <w:tcW w:w="373"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营业收入（万元）</w:t>
            </w:r>
          </w:p>
        </w:tc>
        <w:tc>
          <w:tcPr>
            <w:tcW w:w="323"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从业人员（人）</w:t>
            </w:r>
          </w:p>
        </w:tc>
        <w:tc>
          <w:tcPr>
            <w:tcW w:w="339"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总资产（万元）</w:t>
            </w:r>
          </w:p>
        </w:tc>
        <w:tc>
          <w:tcPr>
            <w:tcW w:w="373"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营业收入（万元）</w:t>
            </w:r>
          </w:p>
        </w:tc>
        <w:tc>
          <w:tcPr>
            <w:tcW w:w="330"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从业人员（人）</w:t>
            </w:r>
          </w:p>
        </w:tc>
        <w:tc>
          <w:tcPr>
            <w:tcW w:w="357"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总资产（万元）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bookmarkStart w:id="209" w:name="_Hlk64965004"/>
            <w:r>
              <w:rPr>
                <w:rFonts w:hint="eastAsia" w:ascii="宋体" w:hAnsi="宋体" w:eastAsia="宋体"/>
                <w:szCs w:val="21"/>
                <w:highlight w:val="none"/>
              </w:rPr>
              <w:t>1</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农、林、牧、渔业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≥20000</w:t>
            </w:r>
          </w:p>
        </w:tc>
        <w:tc>
          <w:tcPr>
            <w:tcW w:w="310"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w:t>
            </w:r>
          </w:p>
        </w:tc>
        <w:tc>
          <w:tcPr>
            <w:tcW w:w="317" w:type="pct"/>
            <w:shd w:val="clear" w:color="auto" w:fill="auto"/>
            <w:noWrap/>
            <w:vAlign w:val="center"/>
          </w:tcPr>
          <w:p>
            <w:pPr>
              <w:jc w:val="center"/>
              <w:rPr>
                <w:rFonts w:ascii="宋体" w:hAnsi="宋体" w:eastAsia="宋体"/>
                <w:szCs w:val="21"/>
                <w:highlight w:val="none"/>
              </w:rPr>
            </w:pP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23" w:type="pct"/>
            <w:shd w:val="clear" w:color="auto" w:fill="auto"/>
            <w:noWrap/>
            <w:vAlign w:val="center"/>
          </w:tcPr>
          <w:p>
            <w:pPr>
              <w:jc w:val="center"/>
              <w:rPr>
                <w:rFonts w:ascii="宋体" w:hAnsi="宋体" w:eastAsia="宋体"/>
                <w:szCs w:val="21"/>
                <w:highlight w:val="none"/>
              </w:rPr>
            </w:pP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30" w:type="pct"/>
            <w:shd w:val="clear" w:color="auto" w:fill="auto"/>
            <w:noWrap/>
            <w:vAlign w:val="center"/>
          </w:tcPr>
          <w:p>
            <w:pPr>
              <w:jc w:val="center"/>
              <w:rPr>
                <w:rFonts w:ascii="宋体" w:hAnsi="宋体" w:eastAsia="宋体"/>
                <w:szCs w:val="21"/>
                <w:highlight w:val="none"/>
              </w:rPr>
            </w:pP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工业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≥40000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建筑业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≥80000</w:t>
            </w:r>
          </w:p>
        </w:tc>
        <w:tc>
          <w:tcPr>
            <w:tcW w:w="310"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≥80000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≥5000</w:t>
            </w:r>
          </w:p>
        </w:tc>
        <w:tc>
          <w:tcPr>
            <w:tcW w:w="317" w:type="pct"/>
            <w:shd w:val="clear" w:color="auto" w:fill="auto"/>
            <w:noWrap/>
            <w:vAlign w:val="center"/>
          </w:tcPr>
          <w:p>
            <w:pPr>
              <w:jc w:val="center"/>
              <w:rPr>
                <w:rFonts w:ascii="宋体" w:hAnsi="宋体" w:eastAsia="宋体"/>
                <w:szCs w:val="21"/>
                <w:highlight w:val="none"/>
              </w:rPr>
            </w:pPr>
          </w:p>
        </w:tc>
        <w:tc>
          <w:tcPr>
            <w:tcW w:w="336"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23" w:type="pct"/>
            <w:shd w:val="clear" w:color="auto" w:fill="auto"/>
            <w:noWrap/>
            <w:vAlign w:val="center"/>
          </w:tcPr>
          <w:p>
            <w:pPr>
              <w:jc w:val="center"/>
              <w:rPr>
                <w:rFonts w:ascii="宋体" w:hAnsi="宋体" w:eastAsia="宋体"/>
                <w:szCs w:val="21"/>
                <w:highlight w:val="none"/>
              </w:rPr>
            </w:pPr>
          </w:p>
        </w:tc>
        <w:tc>
          <w:tcPr>
            <w:tcW w:w="339"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0" w:type="pct"/>
            <w:shd w:val="clear" w:color="auto" w:fill="auto"/>
            <w:noWrap/>
            <w:vAlign w:val="center"/>
          </w:tcPr>
          <w:p>
            <w:pPr>
              <w:jc w:val="center"/>
              <w:rPr>
                <w:rFonts w:ascii="宋体" w:hAnsi="宋体" w:eastAsia="宋体"/>
                <w:szCs w:val="21"/>
                <w:highlight w:val="none"/>
              </w:rPr>
            </w:pPr>
          </w:p>
        </w:tc>
        <w:tc>
          <w:tcPr>
            <w:tcW w:w="35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4</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批发业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≥40000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零售业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6</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交通运输业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7</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仓储业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8</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邮政业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9</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住宿业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餐饮业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11</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信息传输业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12</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软件和信息技术服务业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13</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房地产开发经验</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≥200000</w:t>
            </w:r>
          </w:p>
        </w:tc>
        <w:tc>
          <w:tcPr>
            <w:tcW w:w="310"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或,≥10000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36"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且,≥5000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p>
        </w:tc>
        <w:tc>
          <w:tcPr>
            <w:tcW w:w="339"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且,≥2000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p>
        </w:tc>
        <w:tc>
          <w:tcPr>
            <w:tcW w:w="35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或,＜2000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14</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物业管理</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15</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租赁和商务服务业</w:t>
            </w:r>
          </w:p>
        </w:tc>
        <w:tc>
          <w:tcPr>
            <w:tcW w:w="404" w:type="pct"/>
            <w:shd w:val="clear" w:color="auto" w:fill="auto"/>
            <w:noWrap/>
            <w:vAlign w:val="center"/>
          </w:tcPr>
          <w:p>
            <w:pPr>
              <w:jc w:val="center"/>
              <w:rPr>
                <w:rFonts w:ascii="宋体" w:hAnsi="宋体" w:eastAsia="宋体"/>
                <w:szCs w:val="21"/>
                <w:highlight w:val="none"/>
              </w:rPr>
            </w:pP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或,≥120000</w:t>
            </w:r>
          </w:p>
        </w:tc>
        <w:tc>
          <w:tcPr>
            <w:tcW w:w="373"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且,≥8000</w:t>
            </w:r>
          </w:p>
        </w:tc>
        <w:tc>
          <w:tcPr>
            <w:tcW w:w="373" w:type="pct"/>
            <w:shd w:val="clear" w:color="auto" w:fill="auto"/>
            <w:noWrap/>
            <w:vAlign w:val="center"/>
          </w:tcPr>
          <w:p>
            <w:pPr>
              <w:jc w:val="center"/>
              <w:rPr>
                <w:rFonts w:ascii="宋体" w:hAnsi="宋体" w:eastAsia="宋体"/>
                <w:szCs w:val="21"/>
                <w:highlight w:val="none"/>
              </w:rPr>
            </w:pP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且,≥100</w:t>
            </w:r>
          </w:p>
        </w:tc>
        <w:tc>
          <w:tcPr>
            <w:tcW w:w="373" w:type="pct"/>
            <w:shd w:val="clear" w:color="auto" w:fill="auto"/>
            <w:noWrap/>
            <w:vAlign w:val="center"/>
          </w:tcPr>
          <w:p>
            <w:pPr>
              <w:jc w:val="center"/>
              <w:rPr>
                <w:rFonts w:ascii="宋体" w:hAnsi="宋体" w:eastAsia="宋体"/>
                <w:szCs w:val="21"/>
                <w:highlight w:val="none"/>
              </w:rPr>
            </w:pP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或,＜100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16</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其他未列明行业</w:t>
            </w:r>
          </w:p>
        </w:tc>
        <w:tc>
          <w:tcPr>
            <w:tcW w:w="404" w:type="pct"/>
            <w:shd w:val="clear" w:color="auto" w:fill="auto"/>
            <w:noWrap/>
            <w:vAlign w:val="center"/>
          </w:tcPr>
          <w:p>
            <w:pPr>
              <w:jc w:val="center"/>
              <w:rPr>
                <w:rFonts w:ascii="宋体" w:hAnsi="宋体" w:eastAsia="宋体"/>
                <w:szCs w:val="21"/>
                <w:highlight w:val="none"/>
              </w:rPr>
            </w:pP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bookmarkEnd w:id="209"/>
    </w:tbl>
    <w:p>
      <w:pPr>
        <w:rPr>
          <w:highlight w:val="none"/>
        </w:rPr>
        <w:sectPr>
          <w:pgSz w:w="16840" w:h="11907"/>
          <w:pgMar w:top="1418" w:right="1418" w:bottom="1588" w:left="1418" w:header="851" w:footer="992" w:gutter="0"/>
          <w:cols w:space="425" w:num="1"/>
          <w:docGrid w:linePitch="312" w:charSpace="0"/>
        </w:sectPr>
      </w:pPr>
    </w:p>
    <w:p>
      <w:pPr>
        <w:jc w:val="center"/>
        <w:rPr>
          <w:rFonts w:ascii="宋体" w:hAnsi="宋体" w:eastAsia="宋体"/>
          <w:b/>
          <w:sz w:val="30"/>
          <w:szCs w:val="30"/>
          <w:highlight w:val="none"/>
        </w:rPr>
      </w:pPr>
      <w:r>
        <w:rPr>
          <w:rFonts w:hint="eastAsia" w:ascii="宋体" w:hAnsi="宋体" w:eastAsia="宋体"/>
          <w:b/>
          <w:sz w:val="30"/>
          <w:szCs w:val="30"/>
          <w:highlight w:val="none"/>
        </w:rPr>
        <w:t>残疾人福利性单位声明函</w:t>
      </w:r>
    </w:p>
    <w:p>
      <w:pPr>
        <w:rPr>
          <w:highlight w:val="none"/>
        </w:rPr>
      </w:pPr>
    </w:p>
    <w:p>
      <w:pPr>
        <w:adjustRightInd w:val="0"/>
        <w:snapToGrid w:val="0"/>
        <w:spacing w:line="360" w:lineRule="auto"/>
        <w:rPr>
          <w:rFonts w:ascii="宋体" w:hAnsi="宋体" w:eastAsia="宋体" w:cs="Times New Roman"/>
          <w:b/>
          <w:sz w:val="24"/>
          <w:szCs w:val="24"/>
          <w:highlight w:val="none"/>
        </w:rPr>
      </w:pPr>
      <w:r>
        <w:rPr>
          <w:rFonts w:hint="eastAsia" w:ascii="宋体" w:hAnsi="宋体" w:eastAsia="宋体" w:cs="Times New Roman"/>
          <w:b/>
          <w:sz w:val="24"/>
          <w:szCs w:val="24"/>
          <w:highlight w:val="none"/>
          <w:u w:val="single"/>
        </w:rPr>
        <w:t>　　　　　　　　</w:t>
      </w:r>
      <w:r>
        <w:rPr>
          <w:rFonts w:hint="eastAsia" w:ascii="宋体" w:hAnsi="宋体" w:eastAsia="宋体" w:cs="Times New Roman"/>
          <w:b/>
          <w:sz w:val="24"/>
          <w:szCs w:val="24"/>
          <w:highlight w:val="none"/>
        </w:rPr>
        <w:t>（采购人名称）：</w:t>
      </w:r>
    </w:p>
    <w:p>
      <w:pPr>
        <w:rPr>
          <w:highlight w:val="none"/>
        </w:rPr>
      </w:pPr>
    </w:p>
    <w:p>
      <w:pPr>
        <w:adjustRightInd w:val="0"/>
        <w:snapToGrid w:val="0"/>
        <w:spacing w:line="360" w:lineRule="auto"/>
        <w:ind w:firstLine="480" w:firstLineChars="200"/>
        <w:rPr>
          <w:rFonts w:cs="Times New Roman" w:asciiTheme="minorEastAsia" w:hAnsiTheme="minorEastAsia"/>
          <w:sz w:val="24"/>
          <w:szCs w:val="24"/>
          <w:highlight w:val="none"/>
          <w:lang w:eastAsia="zh-CN"/>
        </w:rPr>
      </w:pPr>
      <w:r>
        <w:rPr>
          <w:rFonts w:hint="eastAsia" w:cs="Times New Roman" w:asciiTheme="minorEastAsia" w:hAnsiTheme="minorEastAsia"/>
          <w:sz w:val="24"/>
          <w:szCs w:val="24"/>
          <w:highlight w:val="none"/>
          <w:lang w:eastAsia="zh-CN"/>
        </w:rPr>
        <w:t>本单位郑重声明，根据《财政部 民政部 中国残疾人联合会关于促进残疾人就业政府采购政策的通知》（财库〔2017〕141号）的规定，本单位为符合条件的残疾人福利性单位（详见“残疾人福利性单位应当满足的条件”），且本单位参加</w:t>
      </w:r>
      <w:r>
        <w:rPr>
          <w:rFonts w:hint="eastAsia" w:cs="Times New Roman" w:asciiTheme="minorEastAsia" w:hAnsiTheme="minorEastAsia"/>
          <w:sz w:val="24"/>
          <w:szCs w:val="24"/>
          <w:highlight w:val="none"/>
          <w:u w:val="single"/>
          <w:lang w:eastAsia="zh-CN"/>
        </w:rPr>
        <w:t xml:space="preserve">　（采购人） </w:t>
      </w:r>
      <w:r>
        <w:rPr>
          <w:rFonts w:hint="eastAsia" w:cs="Times New Roman" w:asciiTheme="minorEastAsia" w:hAnsiTheme="minorEastAsia"/>
          <w:sz w:val="24"/>
          <w:szCs w:val="24"/>
          <w:highlight w:val="none"/>
          <w:lang w:eastAsia="zh-CN"/>
        </w:rPr>
        <w:t>的</w:t>
      </w:r>
      <w:r>
        <w:rPr>
          <w:rFonts w:hint="eastAsia" w:cs="Times New Roman" w:asciiTheme="minorEastAsia" w:hAnsiTheme="minorEastAsia"/>
          <w:sz w:val="24"/>
          <w:szCs w:val="24"/>
          <w:highlight w:val="none"/>
          <w:u w:val="single"/>
          <w:lang w:eastAsia="zh-CN"/>
        </w:rPr>
        <w:t>　　　</w:t>
      </w:r>
      <w:r>
        <w:rPr>
          <w:rFonts w:hint="eastAsia" w:cs="Times New Roman" w:asciiTheme="minorEastAsia" w:hAnsiTheme="minorEastAsia"/>
          <w:sz w:val="24"/>
          <w:szCs w:val="24"/>
          <w:highlight w:val="none"/>
          <w:lang w:eastAsia="zh-CN"/>
        </w:rPr>
        <w:t>项目（项目编号：______）采购活动由本单位提供服务。</w:t>
      </w:r>
    </w:p>
    <w:p>
      <w:pPr>
        <w:adjustRightInd w:val="0"/>
        <w:snapToGrid w:val="0"/>
        <w:spacing w:line="360" w:lineRule="auto"/>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本单位对上述声明的真实性负责。如有虚假，将依法承担相应责任。</w:t>
      </w:r>
    </w:p>
    <w:p>
      <w:pPr>
        <w:rPr>
          <w:rFonts w:ascii="宋体" w:hAnsi="宋体" w:eastAsia="宋体"/>
          <w:highlight w:val="none"/>
        </w:rPr>
      </w:pPr>
    </w:p>
    <w:p>
      <w:pPr>
        <w:spacing w:line="360" w:lineRule="auto"/>
        <w:ind w:left="1091" w:hanging="1091" w:hangingChars="453"/>
        <w:jc w:val="left"/>
        <w:rPr>
          <w:rFonts w:ascii="宋体" w:hAnsi="宋体" w:cs="Courier New"/>
          <w:color w:val="0D0D0D" w:themeColor="text1" w:themeTint="F2"/>
          <w:sz w:val="24"/>
          <w:szCs w:val="21"/>
          <w:highlight w:val="none"/>
          <w14:textFill>
            <w14:solidFill>
              <w14:schemeClr w14:val="tx1">
                <w14:lumMod w14:val="95000"/>
                <w14:lumOff w14:val="5000"/>
              </w14:schemeClr>
            </w14:solidFill>
          </w14:textFill>
        </w:rPr>
      </w:pPr>
      <w:r>
        <w:rPr>
          <w:rFonts w:hint="eastAsia" w:ascii="宋体" w:hAnsi="宋体" w:cs="Courier New"/>
          <w:b/>
          <w:color w:val="0D0D0D" w:themeColor="text1" w:themeTint="F2"/>
          <w:sz w:val="24"/>
          <w:szCs w:val="21"/>
          <w:highlight w:val="none"/>
          <w14:textFill>
            <w14:solidFill>
              <w14:schemeClr w14:val="tx1">
                <w14:lumMod w14:val="95000"/>
                <w14:lumOff w14:val="5000"/>
              </w14:schemeClr>
            </w14:solidFill>
          </w14:textFill>
        </w:rPr>
        <w:t>说明：</w:t>
      </w:r>
      <w:r>
        <w:rPr>
          <w:rFonts w:hint="eastAsia" w:ascii="宋体" w:hAnsi="宋体" w:cs="Courier New"/>
          <w:color w:val="0D0D0D" w:themeColor="text1" w:themeTint="F2"/>
          <w:sz w:val="24"/>
          <w:szCs w:val="21"/>
          <w:highlight w:val="none"/>
          <w14:textFill>
            <w14:solidFill>
              <w14:schemeClr w14:val="tx1">
                <w14:lumMod w14:val="95000"/>
                <w14:lumOff w14:val="5000"/>
              </w14:schemeClr>
            </w14:solidFill>
          </w14:textFill>
        </w:rPr>
        <w:t>1、组成联合体的大中型企业和其他自然人、法人或者其他组织，与残疾人福利性单位之间不得存在投资关系。</w:t>
      </w:r>
    </w:p>
    <w:p>
      <w:pPr>
        <w:spacing w:line="360" w:lineRule="auto"/>
        <w:ind w:left="967" w:leftChars="400" w:hanging="127" w:hangingChars="53"/>
        <w:jc w:val="left"/>
        <w:rPr>
          <w:rFonts w:ascii="宋体" w:hAnsi="宋体" w:cs="Courier New"/>
          <w:bCs/>
          <w:color w:val="0D0D0D" w:themeColor="text1" w:themeTint="F2"/>
          <w:sz w:val="24"/>
          <w:szCs w:val="21"/>
          <w:highlight w:val="none"/>
          <w14:textFill>
            <w14:solidFill>
              <w14:schemeClr w14:val="tx1">
                <w14:lumMod w14:val="95000"/>
                <w14:lumOff w14:val="5000"/>
              </w14:schemeClr>
            </w14:solidFill>
          </w14:textFill>
        </w:rPr>
      </w:pPr>
      <w:r>
        <w:rPr>
          <w:rFonts w:hint="eastAsia" w:ascii="宋体" w:hAnsi="宋体" w:cs="Courier New"/>
          <w:bCs/>
          <w:color w:val="0D0D0D" w:themeColor="text1" w:themeTint="F2"/>
          <w:sz w:val="24"/>
          <w:szCs w:val="21"/>
          <w:highlight w:val="none"/>
          <w14:textFill>
            <w14:solidFill>
              <w14:schemeClr w14:val="tx1">
                <w14:lumMod w14:val="95000"/>
                <w14:lumOff w14:val="5000"/>
              </w14:schemeClr>
            </w14:solidFill>
          </w14:textFill>
        </w:rPr>
        <w:t>2、以联合体方式参与项目竞争的供应商，应由联合体双方签字盖章。</w:t>
      </w:r>
    </w:p>
    <w:p>
      <w:pPr>
        <w:rPr>
          <w:highlight w:val="none"/>
        </w:rPr>
      </w:pPr>
    </w:p>
    <w:p>
      <w:pPr>
        <w:rPr>
          <w:highlight w:val="none"/>
        </w:rPr>
      </w:pPr>
    </w:p>
    <w:p>
      <w:pPr>
        <w:rPr>
          <w:highlight w:val="none"/>
        </w:rPr>
      </w:pPr>
    </w:p>
    <w:p>
      <w:pPr>
        <w:adjustRightInd w:val="0"/>
        <w:snapToGrid w:val="0"/>
        <w:spacing w:line="480" w:lineRule="auto"/>
        <w:ind w:firstLine="3330" w:firstLineChars="1382"/>
        <w:rPr>
          <w:rFonts w:ascii="宋体" w:hAnsi="宋体" w:eastAsia="宋体" w:cs="Times New Roman"/>
          <w:b/>
          <w:bCs/>
          <w:sz w:val="24"/>
          <w:szCs w:val="21"/>
          <w:highlight w:val="none"/>
          <w:lang w:val="zh-CN" w:eastAsia="zh-CN"/>
        </w:rPr>
      </w:pPr>
      <w:r>
        <w:rPr>
          <w:rFonts w:hint="eastAsia" w:ascii="宋体" w:hAnsi="宋体" w:eastAsia="宋体" w:cs="Times New Roman"/>
          <w:b/>
          <w:bCs/>
          <w:sz w:val="24"/>
          <w:szCs w:val="21"/>
          <w:highlight w:val="none"/>
          <w:lang w:val="zh-CN"/>
        </w:rPr>
        <w:t>制造商</w:t>
      </w:r>
      <w:r>
        <w:rPr>
          <w:rFonts w:hint="eastAsia" w:ascii="宋体" w:hAnsi="宋体" w:eastAsia="宋体" w:cs="Times New Roman"/>
          <w:b/>
          <w:bCs/>
          <w:sz w:val="24"/>
          <w:szCs w:val="21"/>
          <w:highlight w:val="none"/>
          <w:lang w:val="zh-CN" w:eastAsia="zh-CN"/>
        </w:rPr>
        <w:t>：</w:t>
      </w:r>
      <w:r>
        <w:rPr>
          <w:rFonts w:hint="eastAsia" w:ascii="宋体" w:hAnsi="宋体" w:eastAsia="宋体" w:cs="Times New Roman"/>
          <w:b/>
          <w:bCs/>
          <w:sz w:val="24"/>
          <w:szCs w:val="21"/>
          <w:highlight w:val="none"/>
          <w:u w:val="single"/>
          <w:lang w:val="zh-CN" w:eastAsia="zh-CN"/>
        </w:rPr>
        <w:t>　　　　</w:t>
      </w:r>
      <w:r>
        <w:rPr>
          <w:rFonts w:hint="eastAsia" w:ascii="宋体" w:hAnsi="宋体" w:eastAsia="宋体" w:cs="Times New Roman"/>
          <w:b/>
          <w:bCs/>
          <w:sz w:val="24"/>
          <w:szCs w:val="21"/>
          <w:highlight w:val="none"/>
          <w:u w:val="single"/>
          <w:lang w:val="zh-CN"/>
        </w:rPr>
        <w:t>　　　</w:t>
      </w:r>
      <w:r>
        <w:rPr>
          <w:rFonts w:hint="eastAsia" w:ascii="宋体" w:hAnsi="宋体" w:eastAsia="宋体" w:cs="Times New Roman"/>
          <w:b/>
          <w:bCs/>
          <w:sz w:val="24"/>
          <w:szCs w:val="21"/>
          <w:highlight w:val="none"/>
          <w:u w:val="single"/>
          <w:lang w:val="zh-CN" w:eastAsia="zh-CN"/>
        </w:rPr>
        <w:t>　　</w:t>
      </w:r>
      <w:r>
        <w:rPr>
          <w:rFonts w:hint="eastAsia" w:ascii="宋体" w:hAnsi="宋体" w:eastAsia="宋体" w:cs="Times New Roman"/>
          <w:b/>
          <w:bCs/>
          <w:sz w:val="24"/>
          <w:szCs w:val="21"/>
          <w:highlight w:val="none"/>
          <w:u w:val="single"/>
          <w:lang w:val="zh-CN"/>
        </w:rPr>
        <w:t>　　</w:t>
      </w:r>
      <w:r>
        <w:rPr>
          <w:rFonts w:hint="eastAsia" w:ascii="宋体" w:hAnsi="宋体" w:eastAsia="宋体" w:cs="Times New Roman"/>
          <w:b/>
          <w:bCs/>
          <w:sz w:val="24"/>
          <w:szCs w:val="21"/>
          <w:highlight w:val="none"/>
          <w:u w:val="single"/>
          <w:lang w:val="zh-CN" w:eastAsia="zh-CN"/>
        </w:rPr>
        <w:t>　　　</w:t>
      </w:r>
      <w:r>
        <w:rPr>
          <w:rFonts w:hint="eastAsia" w:ascii="宋体" w:hAnsi="宋体" w:eastAsia="宋体" w:cs="Times New Roman"/>
          <w:b/>
          <w:bCs/>
          <w:sz w:val="24"/>
          <w:szCs w:val="21"/>
          <w:highlight w:val="none"/>
          <w:lang w:val="zh-CN" w:eastAsia="zh-CN"/>
        </w:rPr>
        <w:t>（公章）</w:t>
      </w:r>
    </w:p>
    <w:p>
      <w:pPr>
        <w:adjustRightInd w:val="0"/>
        <w:snapToGrid w:val="0"/>
        <w:spacing w:line="480" w:lineRule="auto"/>
        <w:ind w:firstLine="3330" w:firstLineChars="1382"/>
        <w:rPr>
          <w:rFonts w:ascii="宋体" w:hAnsi="宋体" w:eastAsia="宋体" w:cs="Times New Roman"/>
          <w:b/>
          <w:sz w:val="24"/>
          <w:szCs w:val="21"/>
          <w:highlight w:val="none"/>
          <w:lang w:val="zh-CN"/>
        </w:rPr>
      </w:pPr>
      <w:r>
        <w:rPr>
          <w:rFonts w:hint="eastAsia" w:ascii="宋体" w:hAnsi="宋体" w:eastAsia="宋体" w:cs="Times New Roman"/>
          <w:b/>
          <w:sz w:val="24"/>
          <w:szCs w:val="21"/>
          <w:highlight w:val="none"/>
          <w:lang w:val="zh-CN"/>
        </w:rPr>
        <w:t>供应商授权代表：</w:t>
      </w:r>
      <w:r>
        <w:rPr>
          <w:rFonts w:hint="eastAsia" w:ascii="宋体" w:hAnsi="宋体" w:eastAsia="宋体" w:cs="Times New Roman"/>
          <w:b/>
          <w:sz w:val="24"/>
          <w:szCs w:val="21"/>
          <w:highlight w:val="none"/>
          <w:u w:val="single"/>
          <w:lang w:val="zh-CN"/>
        </w:rPr>
        <w:t>　　　　　　　</w:t>
      </w:r>
      <w:r>
        <w:rPr>
          <w:rFonts w:hint="eastAsia" w:ascii="宋体" w:hAnsi="宋体" w:eastAsia="宋体" w:cs="Times New Roman"/>
          <w:b/>
          <w:sz w:val="24"/>
          <w:szCs w:val="21"/>
          <w:highlight w:val="none"/>
          <w:u w:val="single"/>
          <w:lang w:val="zh-CN" w:eastAsia="zh-CN"/>
        </w:rPr>
        <w:t>　　　</w:t>
      </w:r>
      <w:r>
        <w:rPr>
          <w:rFonts w:hint="eastAsia" w:ascii="宋体" w:hAnsi="宋体" w:eastAsia="宋体" w:cs="Times New Roman"/>
          <w:b/>
          <w:sz w:val="24"/>
          <w:szCs w:val="21"/>
          <w:highlight w:val="none"/>
          <w:lang w:val="zh-CN"/>
        </w:rPr>
        <w:t>（签字）</w:t>
      </w:r>
    </w:p>
    <w:p>
      <w:pPr>
        <w:adjustRightInd w:val="0"/>
        <w:snapToGrid w:val="0"/>
        <w:spacing w:line="480" w:lineRule="auto"/>
        <w:ind w:firstLine="3330" w:firstLineChars="1382"/>
        <w:rPr>
          <w:rFonts w:ascii="Times New Roman" w:hAnsi="宋体" w:eastAsia="宋体" w:cs="Times New Roman"/>
          <w:b/>
          <w:sz w:val="24"/>
          <w:szCs w:val="24"/>
          <w:highlight w:val="none"/>
          <w:u w:val="single"/>
        </w:rPr>
      </w:pPr>
      <w:r>
        <w:rPr>
          <w:rFonts w:hint="eastAsia" w:ascii="Times New Roman" w:hAnsi="宋体" w:eastAsia="宋体" w:cs="Times New Roman"/>
          <w:b/>
          <w:sz w:val="24"/>
          <w:szCs w:val="24"/>
          <w:highlight w:val="none"/>
        </w:rPr>
        <w:t>日</w:t>
      </w:r>
      <w:r>
        <w:rPr>
          <w:rFonts w:ascii="Times New Roman" w:hAnsi="宋体" w:eastAsia="宋体" w:cs="Times New Roman"/>
          <w:b/>
          <w:sz w:val="24"/>
          <w:szCs w:val="24"/>
          <w:highlight w:val="none"/>
        </w:rPr>
        <w:t>　</w:t>
      </w:r>
      <w:r>
        <w:rPr>
          <w:rFonts w:hint="eastAsia" w:ascii="Times New Roman" w:hAnsi="宋体" w:eastAsia="宋体" w:cs="Times New Roman"/>
          <w:b/>
          <w:sz w:val="24"/>
          <w:szCs w:val="24"/>
          <w:highlight w:val="none"/>
        </w:rPr>
        <w:t>期：</w:t>
      </w:r>
      <w:r>
        <w:rPr>
          <w:rFonts w:hint="eastAsia" w:ascii="宋体" w:hAnsi="宋体"/>
          <w:b/>
          <w:color w:val="000000" w:themeColor="text1"/>
          <w:sz w:val="24"/>
          <w:highlight w:val="none"/>
          <w:u w:val="single"/>
          <w14:textFill>
            <w14:solidFill>
              <w14:schemeClr w14:val="tx1"/>
            </w14:solidFill>
          </w14:textFill>
        </w:rPr>
        <w:t>　　　　　</w:t>
      </w:r>
      <w:r>
        <w:rPr>
          <w:rFonts w:hint="eastAsia" w:ascii="宋体" w:hAnsi="宋体"/>
          <w:b/>
          <w:color w:val="000000" w:themeColor="text1"/>
          <w:sz w:val="24"/>
          <w:highlight w:val="none"/>
          <w14:textFill>
            <w14:solidFill>
              <w14:schemeClr w14:val="tx1"/>
            </w14:solidFill>
          </w14:textFill>
        </w:rPr>
        <w:t>年</w:t>
      </w:r>
      <w:r>
        <w:rPr>
          <w:rFonts w:hint="eastAsia" w:ascii="宋体" w:hAnsi="宋体"/>
          <w:b/>
          <w:color w:val="000000" w:themeColor="text1"/>
          <w:sz w:val="24"/>
          <w:highlight w:val="none"/>
          <w:u w:val="single"/>
          <w14:textFill>
            <w14:solidFill>
              <w14:schemeClr w14:val="tx1"/>
            </w14:solidFill>
          </w14:textFill>
        </w:rPr>
        <w:t>　　</w:t>
      </w:r>
      <w:r>
        <w:rPr>
          <w:rFonts w:hint="eastAsia" w:ascii="宋体" w:hAnsi="宋体"/>
          <w:b/>
          <w:color w:val="000000" w:themeColor="text1"/>
          <w:sz w:val="24"/>
          <w:highlight w:val="none"/>
          <w14:textFill>
            <w14:solidFill>
              <w14:schemeClr w14:val="tx1"/>
            </w14:solidFill>
          </w14:textFill>
        </w:rPr>
        <w:t>月</w:t>
      </w:r>
      <w:r>
        <w:rPr>
          <w:rFonts w:hint="eastAsia" w:ascii="宋体" w:hAnsi="宋体"/>
          <w:b/>
          <w:color w:val="000000" w:themeColor="text1"/>
          <w:sz w:val="24"/>
          <w:highlight w:val="none"/>
          <w:u w:val="single"/>
          <w14:textFill>
            <w14:solidFill>
              <w14:schemeClr w14:val="tx1"/>
            </w14:solidFill>
          </w14:textFill>
        </w:rPr>
        <w:t>　　</w:t>
      </w:r>
      <w:r>
        <w:rPr>
          <w:rFonts w:hint="eastAsia" w:ascii="宋体" w:hAnsi="宋体"/>
          <w:b/>
          <w:color w:val="000000" w:themeColor="text1"/>
          <w:sz w:val="24"/>
          <w:highlight w:val="none"/>
          <w14:textFill>
            <w14:solidFill>
              <w14:schemeClr w14:val="tx1"/>
            </w14:solidFill>
          </w14:textFill>
        </w:rPr>
        <w:t>日</w:t>
      </w:r>
    </w:p>
    <w:p>
      <w:pPr>
        <w:widowControl/>
        <w:jc w:val="left"/>
        <w:rPr>
          <w:rFonts w:eastAsia="黑体" w:asciiTheme="majorHAnsi" w:hAnsiTheme="majorHAnsi" w:cstheme="majorBidi"/>
          <w:bCs/>
          <w:sz w:val="28"/>
          <w:szCs w:val="28"/>
          <w:highlight w:val="none"/>
        </w:rPr>
      </w:pPr>
      <w:r>
        <w:rPr>
          <w:rFonts w:asciiTheme="majorHAnsi" w:hAnsiTheme="majorHAnsi"/>
          <w:sz w:val="28"/>
          <w:szCs w:val="28"/>
          <w:highlight w:val="none"/>
        </w:rPr>
        <w:br w:type="page"/>
      </w:r>
    </w:p>
    <w:p>
      <w:pPr>
        <w:jc w:val="center"/>
        <w:rPr>
          <w:rFonts w:ascii="宋体" w:hAnsi="宋体" w:eastAsia="宋体"/>
          <w:b/>
          <w:sz w:val="30"/>
          <w:szCs w:val="30"/>
          <w:highlight w:val="none"/>
        </w:rPr>
      </w:pPr>
      <w:r>
        <w:rPr>
          <w:rFonts w:hint="eastAsia" w:ascii="宋体" w:hAnsi="宋体" w:eastAsia="宋体"/>
          <w:b/>
          <w:sz w:val="30"/>
          <w:szCs w:val="30"/>
          <w:highlight w:val="none"/>
        </w:rPr>
        <w:t>享受政府采购支持政策的残疾人福利性单位的标准</w:t>
      </w:r>
    </w:p>
    <w:p>
      <w:pPr>
        <w:rPr>
          <w:highlight w:val="none"/>
        </w:rPr>
      </w:pPr>
    </w:p>
    <w:p>
      <w:pPr>
        <w:spacing w:before="240" w:beforeLines="100" w:after="240" w:afterLines="100"/>
        <w:jc w:val="left"/>
        <w:rPr>
          <w:rFonts w:ascii="宋体" w:hAnsi="宋体" w:eastAsia="宋体"/>
          <w:b/>
          <w:sz w:val="24"/>
          <w:szCs w:val="24"/>
          <w:highlight w:val="none"/>
        </w:rPr>
      </w:pPr>
      <w:r>
        <w:rPr>
          <w:rFonts w:hint="eastAsia" w:ascii="宋体" w:hAnsi="宋体" w:eastAsia="宋体"/>
          <w:b/>
          <w:sz w:val="24"/>
          <w:szCs w:val="24"/>
          <w:highlight w:val="none"/>
        </w:rPr>
        <w:t>享受政府采购支持政策的残疾人福利性单位应当同时满足以下条件：</w:t>
      </w:r>
    </w:p>
    <w:p>
      <w:pPr>
        <w:pStyle w:val="50"/>
        <w:numPr>
          <w:ilvl w:val="0"/>
          <w:numId w:val="44"/>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安置的残疾人占本单位在职职工人数的比例不低于25%（含25%），并且安置的残疾人人数不少于10人（含10人）；</w:t>
      </w:r>
    </w:p>
    <w:p>
      <w:pPr>
        <w:pStyle w:val="50"/>
        <w:numPr>
          <w:ilvl w:val="0"/>
          <w:numId w:val="44"/>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依法与安置的每位残疾人签订了一年以上（含一年）的劳动合同或服务协议；</w:t>
      </w:r>
    </w:p>
    <w:p>
      <w:pPr>
        <w:pStyle w:val="50"/>
        <w:numPr>
          <w:ilvl w:val="0"/>
          <w:numId w:val="44"/>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为安置的每位残疾人按月足额缴纳了基本养老保险、基本医疗保险、失业保险、工伤保险和生育保险等社会保险费；</w:t>
      </w:r>
    </w:p>
    <w:p>
      <w:pPr>
        <w:pStyle w:val="50"/>
        <w:numPr>
          <w:ilvl w:val="0"/>
          <w:numId w:val="44"/>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通过银行等金融机构向安置的每位残疾人，按月支付了不低于单位所在区县适用的经省级人民政府批准的月最低工资标准的工资；</w:t>
      </w:r>
    </w:p>
    <w:p>
      <w:pPr>
        <w:pStyle w:val="50"/>
        <w:numPr>
          <w:ilvl w:val="0"/>
          <w:numId w:val="44"/>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提供本单位制造的货物、承担的工程或者服务（以下简称产品），或者提供其他残疾人福利性单位制造的货物（不包括使用非残疾人福利性单位注册商标的货物）。</w:t>
      </w:r>
    </w:p>
    <w:p>
      <w:pPr>
        <w:spacing w:line="360" w:lineRule="auto"/>
        <w:ind w:firstLine="480" w:firstLineChars="200"/>
        <w:rPr>
          <w:highlight w:val="none"/>
        </w:rPr>
      </w:pPr>
      <w:r>
        <w:rPr>
          <w:rFonts w:hint="eastAsia" w:ascii="宋体" w:hAnsi="宋体" w:eastAsia="宋体" w:cs="Times New Roman"/>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bookmarkEnd w:id="8"/>
      <w:bookmarkEnd w:id="208"/>
    </w:p>
    <w:sectPr>
      <w:pgSz w:w="11907" w:h="16840"/>
      <w:pgMar w:top="1418" w:right="1418" w:bottom="1418" w:left="158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Cambria">
    <w:panose1 w:val="02040503050406030204"/>
    <w:charset w:val="00"/>
    <w:family w:val="roman"/>
    <w:pitch w:val="default"/>
    <w:sig w:usb0="E00002FF" w:usb1="400004FF" w:usb2="00000000" w:usb3="00000000" w:csb0="2000019F"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Corbel">
    <w:panose1 w:val="020B0503020204020204"/>
    <w:charset w:val="00"/>
    <w:family w:val="swiss"/>
    <w:pitch w:val="default"/>
    <w:sig w:usb0="A00002EF" w:usb1="4000A44B" w:usb2="00000000" w:usb3="00000000" w:csb0="2000019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1"/>
        <w:szCs w:val="21"/>
      </w:rPr>
      <w:id w:val="370501305"/>
      <w:docPartObj>
        <w:docPartGallery w:val="autotext"/>
      </w:docPartObj>
    </w:sdtPr>
    <w:sdtEndPr>
      <w:rPr>
        <w:rFonts w:ascii="宋体" w:hAnsi="宋体" w:eastAsia="宋体"/>
        <w:sz w:val="21"/>
        <w:szCs w:val="21"/>
      </w:rPr>
    </w:sdtEndPr>
    <w:sdtContent>
      <w:p>
        <w:pPr>
          <w:pStyle w:val="23"/>
          <w:jc w:val="center"/>
          <w:rPr>
            <w:rFonts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2</w:t>
        </w:r>
        <w:r>
          <w:rPr>
            <w:rFonts w:ascii="宋体" w:hAnsi="宋体" w:eastAsia="宋体"/>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815D0"/>
    <w:multiLevelType w:val="multilevel"/>
    <w:tmpl w:val="863815D0"/>
    <w:lvl w:ilvl="0" w:tentative="0">
      <w:start w:val="1"/>
      <w:numFmt w:val="decimal"/>
      <w:lvlText w:val="3.%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969ED2C9"/>
    <w:multiLevelType w:val="multilevel"/>
    <w:tmpl w:val="969ED2C9"/>
    <w:lvl w:ilvl="0" w:tentative="0">
      <w:start w:val="1"/>
      <w:numFmt w:val="decimal"/>
      <w:lvlText w:val="17.%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9866C92B"/>
    <w:multiLevelType w:val="multilevel"/>
    <w:tmpl w:val="9866C92B"/>
    <w:lvl w:ilvl="0" w:tentative="0">
      <w:start w:val="1"/>
      <w:numFmt w:val="decimal"/>
      <w:lvlText w:val="6.1.3.%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99D9CFFC"/>
    <w:multiLevelType w:val="multilevel"/>
    <w:tmpl w:val="99D9CFFC"/>
    <w:lvl w:ilvl="0" w:tentative="0">
      <w:start w:val="1"/>
      <w:numFmt w:val="decimal"/>
      <w:lvlText w:val="7.%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9F13306F"/>
    <w:multiLevelType w:val="multilevel"/>
    <w:tmpl w:val="9F13306F"/>
    <w:lvl w:ilvl="0" w:tentative="0">
      <w:start w:val="1"/>
      <w:numFmt w:val="decimal"/>
      <w:lvlText w:val="16.%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5">
    <w:nsid w:val="A4AFD176"/>
    <w:multiLevelType w:val="multilevel"/>
    <w:tmpl w:val="A4AFD176"/>
    <w:lvl w:ilvl="0" w:tentative="0">
      <w:start w:val="1"/>
      <w:numFmt w:val="decimal"/>
      <w:lvlText w:val="4.%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AFECF0BF"/>
    <w:multiLevelType w:val="multilevel"/>
    <w:tmpl w:val="AFECF0BF"/>
    <w:lvl w:ilvl="0" w:tentative="0">
      <w:start w:val="1"/>
      <w:numFmt w:val="decimal"/>
      <w:lvlText w:val="1.%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BB344D9D"/>
    <w:multiLevelType w:val="multilevel"/>
    <w:tmpl w:val="BB344D9D"/>
    <w:lvl w:ilvl="0" w:tentative="0">
      <w:start w:val="1"/>
      <w:numFmt w:val="decimal"/>
      <w:lvlText w:val="13.%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BDC3667B"/>
    <w:multiLevelType w:val="multilevel"/>
    <w:tmpl w:val="BDC3667B"/>
    <w:lvl w:ilvl="0" w:tentative="0">
      <w:start w:val="1"/>
      <w:numFmt w:val="decimal"/>
      <w:lvlText w:val="6.%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C53D15A6"/>
    <w:multiLevelType w:val="multilevel"/>
    <w:tmpl w:val="C53D15A6"/>
    <w:lvl w:ilvl="0" w:tentative="0">
      <w:start w:val="1"/>
      <w:numFmt w:val="decimal"/>
      <w:lvlText w:val="6.1.2.%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0">
    <w:nsid w:val="C6EE41A3"/>
    <w:multiLevelType w:val="multilevel"/>
    <w:tmpl w:val="C6EE41A3"/>
    <w:lvl w:ilvl="0" w:tentative="0">
      <w:start w:val="1"/>
      <w:numFmt w:val="decimal"/>
      <w:lvlText w:val="2.%1."/>
      <w:lvlJc w:val="left"/>
      <w:pPr>
        <w:ind w:left="425" w:hanging="425"/>
      </w:pPr>
      <w:rPr>
        <w:rFonts w:hint="default" w:ascii="宋体" w:hAnsi="宋体" w:eastAsia="宋体" w:cs="宋体"/>
      </w:rPr>
    </w:lvl>
    <w:lvl w:ilvl="1" w:tentative="0">
      <w:start w:val="1"/>
      <w:numFmt w:val="decimal"/>
      <w:lvlText w:val="2.%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CC7A494E"/>
    <w:multiLevelType w:val="multilevel"/>
    <w:tmpl w:val="CC7A494E"/>
    <w:lvl w:ilvl="0" w:tentative="0">
      <w:start w:val="1"/>
      <w:numFmt w:val="decimal"/>
      <w:lvlText w:val="11.%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CD92469C"/>
    <w:multiLevelType w:val="multilevel"/>
    <w:tmpl w:val="CD92469C"/>
    <w:lvl w:ilvl="0" w:tentative="0">
      <w:start w:val="1"/>
      <w:numFmt w:val="decimal"/>
      <w:lvlText w:val="6.1.%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3">
    <w:nsid w:val="D2BEABA3"/>
    <w:multiLevelType w:val="multilevel"/>
    <w:tmpl w:val="D2BEABA3"/>
    <w:lvl w:ilvl="0" w:tentative="0">
      <w:start w:val="1"/>
      <w:numFmt w:val="decimal"/>
      <w:lvlText w:val="30.%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4">
    <w:nsid w:val="DD649BBD"/>
    <w:multiLevelType w:val="multilevel"/>
    <w:tmpl w:val="DD649BBD"/>
    <w:lvl w:ilvl="0" w:tentative="0">
      <w:start w:val="1"/>
      <w:numFmt w:val="decimal"/>
      <w:lvlText w:val="22.%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E41D6DBC"/>
    <w:multiLevelType w:val="multilevel"/>
    <w:tmpl w:val="E41D6DBC"/>
    <w:lvl w:ilvl="0" w:tentative="0">
      <w:start w:val="1"/>
      <w:numFmt w:val="decimal"/>
      <w:lvlText w:val="25.%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EC4DFB99"/>
    <w:multiLevelType w:val="multilevel"/>
    <w:tmpl w:val="EC4DFB99"/>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7">
    <w:nsid w:val="EDACD4A0"/>
    <w:multiLevelType w:val="multilevel"/>
    <w:tmpl w:val="EDACD4A0"/>
    <w:lvl w:ilvl="0" w:tentative="0">
      <w:start w:val="1"/>
      <w:numFmt w:val="decimal"/>
      <w:lvlText w:val="27.%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EF2B824A"/>
    <w:multiLevelType w:val="multilevel"/>
    <w:tmpl w:val="EF2B824A"/>
    <w:lvl w:ilvl="0" w:tentative="0">
      <w:start w:val="1"/>
      <w:numFmt w:val="decimal"/>
      <w:lvlText w:val="9.%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9">
    <w:nsid w:val="FCB8944E"/>
    <w:multiLevelType w:val="multilevel"/>
    <w:tmpl w:val="FCB8944E"/>
    <w:lvl w:ilvl="0" w:tentative="0">
      <w:start w:val="1"/>
      <w:numFmt w:val="decimal"/>
      <w:lvlText w:val="10.%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0">
    <w:nsid w:val="01C0C498"/>
    <w:multiLevelType w:val="multilevel"/>
    <w:tmpl w:val="01C0C498"/>
    <w:lvl w:ilvl="0" w:tentative="0">
      <w:start w:val="1"/>
      <w:numFmt w:val="decimal"/>
      <w:lvlText w:val="12.%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1">
    <w:nsid w:val="0BCA00B8"/>
    <w:multiLevelType w:val="multilevel"/>
    <w:tmpl w:val="0BCA00B8"/>
    <w:lvl w:ilvl="0" w:tentative="0">
      <w:start w:val="1"/>
      <w:numFmt w:val="decimal"/>
      <w:lvlText w:val="26.%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2">
    <w:nsid w:val="1189778E"/>
    <w:multiLevelType w:val="multilevel"/>
    <w:tmpl w:val="1189778E"/>
    <w:lvl w:ilvl="0" w:tentative="0">
      <w:start w:val="1"/>
      <w:numFmt w:val="chineseCountingThousand"/>
      <w:pStyle w:val="3"/>
      <w:suff w:val="nothing"/>
      <w:lvlText w:val="第%1章 "/>
      <w:lvlJc w:val="left"/>
      <w:pPr>
        <w:ind w:left="0" w:firstLine="0"/>
      </w:pPr>
      <w:rPr>
        <w:rFonts w:hint="eastAsia" w:ascii="黑体" w:hAnsi="黑体" w:eastAsia="黑体"/>
        <w:b w:val="0"/>
        <w:i w:val="0"/>
        <w:sz w:val="36"/>
      </w:rPr>
    </w:lvl>
    <w:lvl w:ilvl="1" w:tentative="0">
      <w:start w:val="1"/>
      <w:numFmt w:val="chineseCountingThousand"/>
      <w:pStyle w:val="4"/>
      <w:suff w:val="nothing"/>
      <w:lvlText w:val="%2、"/>
      <w:lvlJc w:val="left"/>
      <w:pPr>
        <w:ind w:left="0" w:firstLine="0"/>
      </w:pPr>
      <w:rPr>
        <w:rFonts w:hint="default" w:ascii="Times New Roman" w:hAnsi="Times New Roman" w:eastAsia="黑体"/>
        <w:b w:val="0"/>
        <w:i w:val="0"/>
        <w:sz w:val="32"/>
      </w:rPr>
    </w:lvl>
    <w:lvl w:ilvl="2" w:tentative="0">
      <w:start w:val="1"/>
      <w:numFmt w:val="decimal"/>
      <w:pStyle w:val="5"/>
      <w:suff w:val="nothing"/>
      <w:lvlText w:val="%3."/>
      <w:lvlJc w:val="left"/>
      <w:pPr>
        <w:ind w:left="0" w:firstLine="0"/>
      </w:pPr>
      <w:rPr>
        <w:rFonts w:hint="default" w:ascii="Times New Roman" w:hAnsi="Times New Roman" w:eastAsia="黑体"/>
        <w:b w:val="0"/>
        <w:i w:val="0"/>
        <w:sz w:val="30"/>
      </w:rPr>
    </w:lvl>
    <w:lvl w:ilvl="3" w:tentative="0">
      <w:start w:val="1"/>
      <w:numFmt w:val="decimal"/>
      <w:pStyle w:val="2"/>
      <w:suff w:val="nothing"/>
      <w:lvlText w:val="%3.%4 "/>
      <w:lvlJc w:val="left"/>
      <w:pPr>
        <w:ind w:left="0" w:firstLine="0"/>
      </w:pPr>
      <w:rPr>
        <w:rFonts w:hint="default" w:ascii="Times New Roman" w:hAnsi="Times New Roman" w:eastAsia="宋体"/>
        <w:b w:val="0"/>
        <w:i w:val="0"/>
        <w:sz w:val="28"/>
      </w:rPr>
    </w:lvl>
    <w:lvl w:ilvl="4" w:tentative="0">
      <w:start w:val="1"/>
      <w:numFmt w:val="decimal"/>
      <w:pStyle w:val="6"/>
      <w:suff w:val="nothing"/>
      <w:lvlText w:val="%3.%4.%5 "/>
      <w:lvlJc w:val="left"/>
      <w:pPr>
        <w:ind w:left="0" w:firstLine="0"/>
      </w:pPr>
      <w:rPr>
        <w:rFonts w:hint="default" w:ascii="Times New Roman" w:hAnsi="Times New Roman" w:eastAsia="宋体"/>
        <w:b w:val="0"/>
        <w:i w:val="0"/>
        <w:sz w:val="24"/>
      </w:rPr>
    </w:lvl>
    <w:lvl w:ilvl="5" w:tentative="0">
      <w:start w:val="1"/>
      <w:numFmt w:val="decimal"/>
      <w:pStyle w:val="7"/>
      <w:suff w:val="nothing"/>
      <w:lvlText w:val="%3.%4.%5.%6 "/>
      <w:lvlJc w:val="left"/>
      <w:pPr>
        <w:ind w:left="0" w:firstLine="0"/>
      </w:pPr>
      <w:rPr>
        <w:rFonts w:hint="default" w:ascii="Times New Roman" w:hAnsi="Times New Roman" w:eastAsia="宋体"/>
        <w:b w:val="0"/>
        <w:i w:val="0"/>
        <w:sz w:val="24"/>
      </w:rPr>
    </w:lvl>
    <w:lvl w:ilvl="6" w:tentative="0">
      <w:start w:val="1"/>
      <w:numFmt w:val="decimal"/>
      <w:pStyle w:val="8"/>
      <w:suff w:val="nothing"/>
      <w:lvlText w:val="%3.%4.%5.%6.%7 "/>
      <w:lvlJc w:val="left"/>
      <w:pPr>
        <w:ind w:left="0" w:firstLine="0"/>
      </w:pPr>
      <w:rPr>
        <w:rFonts w:hint="default" w:ascii="Times New Roman" w:hAnsi="Times New Roman" w:eastAsia="宋体"/>
        <w:b w:val="0"/>
        <w:i w:val="0"/>
        <w:sz w:val="24"/>
      </w:rPr>
    </w:lvl>
    <w:lvl w:ilvl="7" w:tentative="0">
      <w:start w:val="1"/>
      <w:numFmt w:val="decimal"/>
      <w:pStyle w:val="9"/>
      <w:suff w:val="nothing"/>
      <w:lvlText w:val="%3.%4.%5.%6.%7.%8 "/>
      <w:lvlJc w:val="left"/>
      <w:pPr>
        <w:ind w:left="0" w:firstLine="0"/>
      </w:pPr>
      <w:rPr>
        <w:rFonts w:hint="default" w:ascii="Times New Roman" w:hAnsi="Times New Roman" w:eastAsia="宋体"/>
        <w:b w:val="0"/>
        <w:i w:val="0"/>
        <w:sz w:val="24"/>
      </w:rPr>
    </w:lvl>
    <w:lvl w:ilvl="8" w:tentative="0">
      <w:start w:val="1"/>
      <w:numFmt w:val="decimal"/>
      <w:pStyle w:val="10"/>
      <w:suff w:val="nothing"/>
      <w:lvlText w:val="%3.%4.%5.%6.%7.%8.%9 "/>
      <w:lvlJc w:val="left"/>
      <w:pPr>
        <w:ind w:left="0" w:firstLine="0"/>
      </w:pPr>
      <w:rPr>
        <w:rFonts w:hint="default" w:ascii="Times New Roman" w:hAnsi="Times New Roman" w:eastAsia="宋体"/>
        <w:b w:val="0"/>
        <w:i w:val="0"/>
        <w:sz w:val="21"/>
      </w:rPr>
    </w:lvl>
  </w:abstractNum>
  <w:abstractNum w:abstractNumId="23">
    <w:nsid w:val="15418BFD"/>
    <w:multiLevelType w:val="multilevel"/>
    <w:tmpl w:val="15418BFD"/>
    <w:lvl w:ilvl="0" w:tentative="0">
      <w:start w:val="1"/>
      <w:numFmt w:val="decimal"/>
      <w:lvlText w:val="23.%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4">
    <w:nsid w:val="18C91456"/>
    <w:multiLevelType w:val="multilevel"/>
    <w:tmpl w:val="18C91456"/>
    <w:lvl w:ilvl="0" w:tentative="0">
      <w:start w:val="1"/>
      <w:numFmt w:val="decimal"/>
      <w:lvlText w:val="3.%1."/>
      <w:lvlJc w:val="left"/>
      <w:pPr>
        <w:ind w:left="420" w:hanging="420"/>
      </w:pPr>
      <w:rPr>
        <w:rFonts w:hint="default" w:asciiTheme="minorEastAsia" w:hAnsiTheme="minorEastAsia" w:eastAsiaTheme="minorEastAsia" w:cs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1CB4BCE6"/>
    <w:multiLevelType w:val="multilevel"/>
    <w:tmpl w:val="1CB4BCE6"/>
    <w:lvl w:ilvl="0" w:tentative="0">
      <w:start w:val="1"/>
      <w:numFmt w:val="decimal"/>
      <w:lvlText w:val="19.%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6">
    <w:nsid w:val="1FFAE98A"/>
    <w:multiLevelType w:val="multilevel"/>
    <w:tmpl w:val="1FFAE98A"/>
    <w:lvl w:ilvl="0" w:tentative="0">
      <w:start w:val="1"/>
      <w:numFmt w:val="decimal"/>
      <w:lvlText w:val="%1."/>
      <w:lvlJc w:val="left"/>
      <w:pPr>
        <w:ind w:left="425" w:hanging="425"/>
      </w:pPr>
      <w:rPr>
        <w:rFonts w:hint="default"/>
      </w:rPr>
    </w:lvl>
    <w:lvl w:ilvl="1" w:tentative="0">
      <w:start w:val="1"/>
      <w:numFmt w:val="decimal"/>
      <w:lvlText w:val="2.%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7">
    <w:nsid w:val="24CA1C3B"/>
    <w:multiLevelType w:val="multilevel"/>
    <w:tmpl w:val="24CA1C3B"/>
    <w:lvl w:ilvl="0" w:tentative="0">
      <w:start w:val="1"/>
      <w:numFmt w:val="decimal"/>
      <w:lvlText w:val="%1、"/>
      <w:lvlJc w:val="left"/>
      <w:pPr>
        <w:ind w:left="900" w:hanging="420"/>
      </w:pPr>
      <w:rPr>
        <w:rFonts w:hint="eastAsia"/>
        <w:sz w:val="32"/>
        <w:szCs w:val="32"/>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33020AE6"/>
    <w:multiLevelType w:val="multilevel"/>
    <w:tmpl w:val="33020AE6"/>
    <w:lvl w:ilvl="0" w:tentative="0">
      <w:start w:val="1"/>
      <w:numFmt w:val="decimal"/>
      <w:lvlText w:val="%1"/>
      <w:lvlJc w:val="left"/>
      <w:pPr>
        <w:ind w:left="420" w:hanging="420"/>
      </w:pPr>
      <w:rPr>
        <w:rFonts w:hint="eastAsia" w:ascii="宋体" w:hAnsi="宋体" w:eastAsia="宋体"/>
        <w:b w:val="0"/>
        <w:i w:val="0"/>
        <w:color w:val="auto"/>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35133E0E"/>
    <w:multiLevelType w:val="multilevel"/>
    <w:tmpl w:val="35133E0E"/>
    <w:lvl w:ilvl="0" w:tentative="0">
      <w:start w:val="1"/>
      <w:numFmt w:val="decimal"/>
      <w:lvlText w:val="24.%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0">
    <w:nsid w:val="374FEEA9"/>
    <w:multiLevelType w:val="multilevel"/>
    <w:tmpl w:val="374FEEA9"/>
    <w:lvl w:ilvl="0" w:tentative="0">
      <w:start w:val="1"/>
      <w:numFmt w:val="decimal"/>
      <w:lvlText w:val="6.1.1.%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1">
    <w:nsid w:val="3BBAE923"/>
    <w:multiLevelType w:val="multilevel"/>
    <w:tmpl w:val="3BBAE923"/>
    <w:lvl w:ilvl="0" w:tentative="0">
      <w:start w:val="1"/>
      <w:numFmt w:val="decimal"/>
      <w:lvlText w:val="5.%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2">
    <w:nsid w:val="47A4DBB8"/>
    <w:multiLevelType w:val="multilevel"/>
    <w:tmpl w:val="47A4DBB8"/>
    <w:lvl w:ilvl="0" w:tentative="0">
      <w:start w:val="1"/>
      <w:numFmt w:val="decimal"/>
      <w:lvlText w:val="20.%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3">
    <w:nsid w:val="4AD45F94"/>
    <w:multiLevelType w:val="multilevel"/>
    <w:tmpl w:val="4AD45F94"/>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567" w:hanging="567"/>
      </w:pPr>
      <w:rPr>
        <w:rFonts w:hint="default" w:asciiTheme="minorEastAsia" w:hAnsiTheme="minorEastAsia" w:eastAsiaTheme="minorEastAsia" w:cstheme="minorEastAsia"/>
      </w:rPr>
    </w:lvl>
    <w:lvl w:ilvl="2" w:tentative="0">
      <w:start w:val="1"/>
      <w:numFmt w:val="decimal"/>
      <w:lvlText w:val="%1.%2.%3."/>
      <w:lvlJc w:val="left"/>
      <w:pPr>
        <w:ind w:left="709" w:hanging="709"/>
      </w:pPr>
      <w:rPr>
        <w:rFonts w:hint="default" w:ascii="Times New Roman" w:hAnsi="Times New Roman" w:cs="Times New Roman"/>
      </w:rPr>
    </w:lvl>
    <w:lvl w:ilvl="3" w:tentative="0">
      <w:start w:val="1"/>
      <w:numFmt w:val="decimal"/>
      <w:lvlText w:val="%1.%2.%3.%4."/>
      <w:lvlJc w:val="left"/>
      <w:pPr>
        <w:ind w:left="851" w:hanging="851"/>
      </w:pPr>
      <w:rPr>
        <w:rFonts w:hint="default" w:ascii="Times New Roman" w:hAnsi="Times New Roman" w:cs="Times New Roman"/>
      </w:rPr>
    </w:lvl>
    <w:lvl w:ilvl="4" w:tentative="0">
      <w:start w:val="1"/>
      <w:numFmt w:val="decimal"/>
      <w:lvlText w:val="%1.%2.%3.%4.%5."/>
      <w:lvlJc w:val="left"/>
      <w:pPr>
        <w:ind w:left="992" w:hanging="992"/>
      </w:pPr>
      <w:rPr>
        <w:rFonts w:hint="default" w:ascii="Times New Roman" w:hAnsi="Times New Roman" w:cs="Times New Roman"/>
      </w:rPr>
    </w:lvl>
    <w:lvl w:ilvl="5" w:tentative="0">
      <w:start w:val="1"/>
      <w:numFmt w:val="decimal"/>
      <w:lvlText w:val="%1.%2.%3.%4.%5.%6."/>
      <w:lvlJc w:val="left"/>
      <w:pPr>
        <w:ind w:left="1134" w:hanging="1134"/>
      </w:pPr>
      <w:rPr>
        <w:rFonts w:hint="default" w:ascii="Times New Roman" w:hAnsi="Times New Roman" w:cs="Times New Roman"/>
      </w:rPr>
    </w:lvl>
    <w:lvl w:ilvl="6" w:tentative="0">
      <w:start w:val="1"/>
      <w:numFmt w:val="decimal"/>
      <w:lvlText w:val="%1.%2.%3.%4.%5.%6.%7."/>
      <w:lvlJc w:val="left"/>
      <w:pPr>
        <w:ind w:left="1276" w:hanging="1276"/>
      </w:pPr>
      <w:rPr>
        <w:rFonts w:hint="default" w:ascii="Times New Roman" w:hAnsi="Times New Roman" w:cs="Times New Roman"/>
      </w:rPr>
    </w:lvl>
    <w:lvl w:ilvl="7" w:tentative="0">
      <w:start w:val="1"/>
      <w:numFmt w:val="decimal"/>
      <w:lvlText w:val="%1.%2.%3.%4.%5.%6.%7.%8."/>
      <w:lvlJc w:val="left"/>
      <w:pPr>
        <w:ind w:left="1418" w:hanging="1418"/>
      </w:pPr>
      <w:rPr>
        <w:rFonts w:hint="default" w:ascii="Times New Roman" w:hAnsi="Times New Roman" w:cs="Times New Roman"/>
      </w:rPr>
    </w:lvl>
    <w:lvl w:ilvl="8" w:tentative="0">
      <w:start w:val="1"/>
      <w:numFmt w:val="decimal"/>
      <w:lvlText w:val="%1.%2.%3.%4.%5.%6.%7.%8.%9."/>
      <w:lvlJc w:val="left"/>
      <w:pPr>
        <w:ind w:left="1559" w:hanging="1559"/>
      </w:pPr>
      <w:rPr>
        <w:rFonts w:hint="default" w:ascii="Times New Roman" w:hAnsi="Times New Roman" w:cs="Times New Roman"/>
      </w:rPr>
    </w:lvl>
  </w:abstractNum>
  <w:abstractNum w:abstractNumId="34">
    <w:nsid w:val="58CDEE4D"/>
    <w:multiLevelType w:val="multilevel"/>
    <w:tmpl w:val="58CDEE4D"/>
    <w:lvl w:ilvl="0" w:tentative="0">
      <w:start w:val="1"/>
      <w:numFmt w:val="decimal"/>
      <w:lvlText w:val="18.%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5">
    <w:nsid w:val="5BD83A65"/>
    <w:multiLevelType w:val="multilevel"/>
    <w:tmpl w:val="5BD83A6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5DD62C61"/>
    <w:multiLevelType w:val="multilevel"/>
    <w:tmpl w:val="5DD62C61"/>
    <w:lvl w:ilvl="0" w:tentative="0">
      <w:start w:val="1"/>
      <w:numFmt w:val="decimal"/>
      <w:lvlText w:val="28.%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7">
    <w:nsid w:val="6112E447"/>
    <w:multiLevelType w:val="multilevel"/>
    <w:tmpl w:val="6112E447"/>
    <w:lvl w:ilvl="0" w:tentative="0">
      <w:start w:val="1"/>
      <w:numFmt w:val="decimal"/>
      <w:lvlText w:val="21.%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8">
    <w:nsid w:val="64031BD7"/>
    <w:multiLevelType w:val="multilevel"/>
    <w:tmpl w:val="64031BD7"/>
    <w:lvl w:ilvl="0" w:tentative="0">
      <w:start w:val="1"/>
      <w:numFmt w:val="chineseCountingThousand"/>
      <w:lvlText w:val="（%1）"/>
      <w:lvlJc w:val="left"/>
      <w:pPr>
        <w:ind w:left="90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656694CB"/>
    <w:multiLevelType w:val="multilevel"/>
    <w:tmpl w:val="656694CB"/>
    <w:lvl w:ilvl="0" w:tentative="0">
      <w:start w:val="1"/>
      <w:numFmt w:val="decimal"/>
      <w:lvlText w:val="14.%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0">
    <w:nsid w:val="6BF03188"/>
    <w:multiLevelType w:val="multilevel"/>
    <w:tmpl w:val="6BF03188"/>
    <w:lvl w:ilvl="0" w:tentative="0">
      <w:start w:val="1"/>
      <w:numFmt w:val="decimal"/>
      <w:lvlText w:val="8.%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1">
    <w:nsid w:val="6EAAC7E7"/>
    <w:multiLevelType w:val="multilevel"/>
    <w:tmpl w:val="6EAAC7E7"/>
    <w:lvl w:ilvl="0" w:tentative="0">
      <w:start w:val="1"/>
      <w:numFmt w:val="decimal"/>
      <w:lvlText w:val="15.%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2">
    <w:nsid w:val="78CD4909"/>
    <w:multiLevelType w:val="multilevel"/>
    <w:tmpl w:val="78CD4909"/>
    <w:lvl w:ilvl="0" w:tentative="0">
      <w:start w:val="1"/>
      <w:numFmt w:val="decimal"/>
      <w:lvlText w:val="29.%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2"/>
  </w:num>
  <w:num w:numId="2">
    <w:abstractNumId w:val="28"/>
  </w:num>
  <w:num w:numId="3">
    <w:abstractNumId w:val="35"/>
  </w:num>
  <w:num w:numId="4">
    <w:abstractNumId w:val="16"/>
  </w:num>
  <w:num w:numId="5">
    <w:abstractNumId w:val="6"/>
  </w:num>
  <w:num w:numId="6">
    <w:abstractNumId w:val="10"/>
  </w:num>
  <w:num w:numId="7">
    <w:abstractNumId w:val="0"/>
  </w:num>
  <w:num w:numId="8">
    <w:abstractNumId w:val="5"/>
  </w:num>
  <w:num w:numId="9">
    <w:abstractNumId w:val="31"/>
  </w:num>
  <w:num w:numId="10">
    <w:abstractNumId w:val="8"/>
  </w:num>
  <w:num w:numId="11">
    <w:abstractNumId w:val="12"/>
  </w:num>
  <w:num w:numId="12">
    <w:abstractNumId w:val="30"/>
  </w:num>
  <w:num w:numId="13">
    <w:abstractNumId w:val="9"/>
  </w:num>
  <w:num w:numId="14">
    <w:abstractNumId w:val="2"/>
  </w:num>
  <w:num w:numId="15">
    <w:abstractNumId w:val="3"/>
  </w:num>
  <w:num w:numId="16">
    <w:abstractNumId w:val="40"/>
  </w:num>
  <w:num w:numId="17">
    <w:abstractNumId w:val="18"/>
  </w:num>
  <w:num w:numId="18">
    <w:abstractNumId w:val="19"/>
  </w:num>
  <w:num w:numId="19">
    <w:abstractNumId w:val="11"/>
  </w:num>
  <w:num w:numId="20">
    <w:abstractNumId w:val="20"/>
  </w:num>
  <w:num w:numId="21">
    <w:abstractNumId w:val="7"/>
  </w:num>
  <w:num w:numId="22">
    <w:abstractNumId w:val="39"/>
  </w:num>
  <w:num w:numId="23">
    <w:abstractNumId w:val="41"/>
  </w:num>
  <w:num w:numId="24">
    <w:abstractNumId w:val="4"/>
  </w:num>
  <w:num w:numId="25">
    <w:abstractNumId w:val="1"/>
  </w:num>
  <w:num w:numId="26">
    <w:abstractNumId w:val="34"/>
  </w:num>
  <w:num w:numId="27">
    <w:abstractNumId w:val="25"/>
  </w:num>
  <w:num w:numId="28">
    <w:abstractNumId w:val="32"/>
  </w:num>
  <w:num w:numId="29">
    <w:abstractNumId w:val="37"/>
  </w:num>
  <w:num w:numId="30">
    <w:abstractNumId w:val="14"/>
  </w:num>
  <w:num w:numId="31">
    <w:abstractNumId w:val="23"/>
  </w:num>
  <w:num w:numId="32">
    <w:abstractNumId w:val="29"/>
  </w:num>
  <w:num w:numId="33">
    <w:abstractNumId w:val="15"/>
  </w:num>
  <w:num w:numId="34">
    <w:abstractNumId w:val="21"/>
  </w:num>
  <w:num w:numId="35">
    <w:abstractNumId w:val="17"/>
  </w:num>
  <w:num w:numId="36">
    <w:abstractNumId w:val="36"/>
  </w:num>
  <w:num w:numId="37">
    <w:abstractNumId w:val="42"/>
  </w:num>
  <w:num w:numId="38">
    <w:abstractNumId w:val="13"/>
  </w:num>
  <w:num w:numId="39">
    <w:abstractNumId w:val="33"/>
    <w:lvlOverride w:ilvl="0">
      <w:startOverride w:val="1"/>
    </w:lvlOverride>
  </w:num>
  <w:num w:numId="40">
    <w:abstractNumId w:val="33"/>
    <w:lvlOverride w:ilvl="1">
      <w:startOverride w:val="1"/>
    </w:lvlOverride>
  </w:num>
  <w:num w:numId="41">
    <w:abstractNumId w:val="26"/>
  </w:num>
  <w:num w:numId="42">
    <w:abstractNumId w:val="24"/>
  </w:num>
  <w:num w:numId="43">
    <w:abstractNumId w:val="27"/>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E5"/>
    <w:rsid w:val="000029EE"/>
    <w:rsid w:val="00010812"/>
    <w:rsid w:val="000108F4"/>
    <w:rsid w:val="00021EC1"/>
    <w:rsid w:val="0002493E"/>
    <w:rsid w:val="00034A52"/>
    <w:rsid w:val="00061E5D"/>
    <w:rsid w:val="00086083"/>
    <w:rsid w:val="0009413B"/>
    <w:rsid w:val="000A0A1B"/>
    <w:rsid w:val="000B522E"/>
    <w:rsid w:val="000C79B1"/>
    <w:rsid w:val="000D418A"/>
    <w:rsid w:val="000D5304"/>
    <w:rsid w:val="000E7B9F"/>
    <w:rsid w:val="000F1831"/>
    <w:rsid w:val="00167605"/>
    <w:rsid w:val="00172D1E"/>
    <w:rsid w:val="00182869"/>
    <w:rsid w:val="00184EC1"/>
    <w:rsid w:val="001B2AC1"/>
    <w:rsid w:val="001D1335"/>
    <w:rsid w:val="001D24C2"/>
    <w:rsid w:val="001D54A1"/>
    <w:rsid w:val="001E2BDE"/>
    <w:rsid w:val="001F03AA"/>
    <w:rsid w:val="002018B0"/>
    <w:rsid w:val="002028DA"/>
    <w:rsid w:val="00214690"/>
    <w:rsid w:val="0021677E"/>
    <w:rsid w:val="002220A0"/>
    <w:rsid w:val="002509D9"/>
    <w:rsid w:val="00256ECB"/>
    <w:rsid w:val="0025770F"/>
    <w:rsid w:val="00257D04"/>
    <w:rsid w:val="00270D21"/>
    <w:rsid w:val="00276C43"/>
    <w:rsid w:val="00293015"/>
    <w:rsid w:val="0029540B"/>
    <w:rsid w:val="002C210F"/>
    <w:rsid w:val="002C55B6"/>
    <w:rsid w:val="002E36D2"/>
    <w:rsid w:val="002E4568"/>
    <w:rsid w:val="002E50F0"/>
    <w:rsid w:val="002F46F9"/>
    <w:rsid w:val="00317D20"/>
    <w:rsid w:val="00325FCF"/>
    <w:rsid w:val="00344230"/>
    <w:rsid w:val="00346642"/>
    <w:rsid w:val="00352DA4"/>
    <w:rsid w:val="003557AF"/>
    <w:rsid w:val="00360866"/>
    <w:rsid w:val="00366992"/>
    <w:rsid w:val="003736E0"/>
    <w:rsid w:val="00391F57"/>
    <w:rsid w:val="00392896"/>
    <w:rsid w:val="003B4343"/>
    <w:rsid w:val="003C054A"/>
    <w:rsid w:val="003C4643"/>
    <w:rsid w:val="003C643C"/>
    <w:rsid w:val="003D6DD2"/>
    <w:rsid w:val="003E07C1"/>
    <w:rsid w:val="003E71A3"/>
    <w:rsid w:val="003F45D2"/>
    <w:rsid w:val="004104BB"/>
    <w:rsid w:val="00414766"/>
    <w:rsid w:val="00421739"/>
    <w:rsid w:val="00446370"/>
    <w:rsid w:val="004762A0"/>
    <w:rsid w:val="00493B9F"/>
    <w:rsid w:val="004A1184"/>
    <w:rsid w:val="004A2D23"/>
    <w:rsid w:val="004B0EF6"/>
    <w:rsid w:val="004E4E72"/>
    <w:rsid w:val="00500B31"/>
    <w:rsid w:val="00506121"/>
    <w:rsid w:val="00511DE0"/>
    <w:rsid w:val="00517178"/>
    <w:rsid w:val="00521E60"/>
    <w:rsid w:val="00525362"/>
    <w:rsid w:val="0053087E"/>
    <w:rsid w:val="005311C5"/>
    <w:rsid w:val="00541D22"/>
    <w:rsid w:val="00563D18"/>
    <w:rsid w:val="00585D55"/>
    <w:rsid w:val="005A10D0"/>
    <w:rsid w:val="005B5C9F"/>
    <w:rsid w:val="005B7140"/>
    <w:rsid w:val="005C020C"/>
    <w:rsid w:val="005E2B23"/>
    <w:rsid w:val="00600D37"/>
    <w:rsid w:val="00607D7C"/>
    <w:rsid w:val="00616B8B"/>
    <w:rsid w:val="00620E45"/>
    <w:rsid w:val="00636765"/>
    <w:rsid w:val="006405B5"/>
    <w:rsid w:val="00655B6F"/>
    <w:rsid w:val="00656F3C"/>
    <w:rsid w:val="006634B6"/>
    <w:rsid w:val="006C3821"/>
    <w:rsid w:val="006C60D4"/>
    <w:rsid w:val="006D724E"/>
    <w:rsid w:val="006F0942"/>
    <w:rsid w:val="006F0E47"/>
    <w:rsid w:val="00707EDA"/>
    <w:rsid w:val="007153AF"/>
    <w:rsid w:val="00746997"/>
    <w:rsid w:val="007554FF"/>
    <w:rsid w:val="007603FB"/>
    <w:rsid w:val="0076168E"/>
    <w:rsid w:val="00766F18"/>
    <w:rsid w:val="007806A7"/>
    <w:rsid w:val="00780F51"/>
    <w:rsid w:val="0078144C"/>
    <w:rsid w:val="00783FD8"/>
    <w:rsid w:val="007955B7"/>
    <w:rsid w:val="007A4202"/>
    <w:rsid w:val="007B32C6"/>
    <w:rsid w:val="007C3710"/>
    <w:rsid w:val="007C457F"/>
    <w:rsid w:val="007C4E8A"/>
    <w:rsid w:val="007D1B7A"/>
    <w:rsid w:val="007D7384"/>
    <w:rsid w:val="007E5219"/>
    <w:rsid w:val="007F2808"/>
    <w:rsid w:val="007F37F3"/>
    <w:rsid w:val="007F501D"/>
    <w:rsid w:val="007F7185"/>
    <w:rsid w:val="008070D8"/>
    <w:rsid w:val="00810CD5"/>
    <w:rsid w:val="008221D5"/>
    <w:rsid w:val="00823541"/>
    <w:rsid w:val="0083387A"/>
    <w:rsid w:val="00844EB9"/>
    <w:rsid w:val="00844FF9"/>
    <w:rsid w:val="008643F0"/>
    <w:rsid w:val="00865035"/>
    <w:rsid w:val="008811DD"/>
    <w:rsid w:val="008A269F"/>
    <w:rsid w:val="008C397D"/>
    <w:rsid w:val="008C3A41"/>
    <w:rsid w:val="008C42B3"/>
    <w:rsid w:val="008D3E40"/>
    <w:rsid w:val="00937E02"/>
    <w:rsid w:val="00955219"/>
    <w:rsid w:val="00972E38"/>
    <w:rsid w:val="00984FFB"/>
    <w:rsid w:val="009C160C"/>
    <w:rsid w:val="009C3BB9"/>
    <w:rsid w:val="009C42D8"/>
    <w:rsid w:val="009C46AD"/>
    <w:rsid w:val="009D242B"/>
    <w:rsid w:val="009E61E5"/>
    <w:rsid w:val="00A07910"/>
    <w:rsid w:val="00A321E6"/>
    <w:rsid w:val="00A44FFC"/>
    <w:rsid w:val="00A51BDF"/>
    <w:rsid w:val="00A53E8D"/>
    <w:rsid w:val="00A53F2E"/>
    <w:rsid w:val="00A60BB5"/>
    <w:rsid w:val="00A611D8"/>
    <w:rsid w:val="00A613B8"/>
    <w:rsid w:val="00A73552"/>
    <w:rsid w:val="00A77C34"/>
    <w:rsid w:val="00A912AB"/>
    <w:rsid w:val="00A952D6"/>
    <w:rsid w:val="00AB2187"/>
    <w:rsid w:val="00AC7E04"/>
    <w:rsid w:val="00AD266E"/>
    <w:rsid w:val="00AE5041"/>
    <w:rsid w:val="00AE67A9"/>
    <w:rsid w:val="00AF6919"/>
    <w:rsid w:val="00B32F1C"/>
    <w:rsid w:val="00B45AB5"/>
    <w:rsid w:val="00B66171"/>
    <w:rsid w:val="00B75267"/>
    <w:rsid w:val="00B76068"/>
    <w:rsid w:val="00B7612B"/>
    <w:rsid w:val="00BA6753"/>
    <w:rsid w:val="00BC1490"/>
    <w:rsid w:val="00BC2BB6"/>
    <w:rsid w:val="00BD0D37"/>
    <w:rsid w:val="00BD3C57"/>
    <w:rsid w:val="00BE21E0"/>
    <w:rsid w:val="00BE5A24"/>
    <w:rsid w:val="00C0580A"/>
    <w:rsid w:val="00C131C7"/>
    <w:rsid w:val="00C33042"/>
    <w:rsid w:val="00C352B7"/>
    <w:rsid w:val="00C4408D"/>
    <w:rsid w:val="00C520ED"/>
    <w:rsid w:val="00C6268A"/>
    <w:rsid w:val="00C858BD"/>
    <w:rsid w:val="00C86BCA"/>
    <w:rsid w:val="00CD7153"/>
    <w:rsid w:val="00CF42A4"/>
    <w:rsid w:val="00CF7A68"/>
    <w:rsid w:val="00D00B59"/>
    <w:rsid w:val="00D01944"/>
    <w:rsid w:val="00D021BF"/>
    <w:rsid w:val="00D04382"/>
    <w:rsid w:val="00D0649A"/>
    <w:rsid w:val="00D06771"/>
    <w:rsid w:val="00D16AFD"/>
    <w:rsid w:val="00D17043"/>
    <w:rsid w:val="00D237A5"/>
    <w:rsid w:val="00D40328"/>
    <w:rsid w:val="00D508AA"/>
    <w:rsid w:val="00D63F27"/>
    <w:rsid w:val="00D64737"/>
    <w:rsid w:val="00D74A45"/>
    <w:rsid w:val="00D75A03"/>
    <w:rsid w:val="00D766EC"/>
    <w:rsid w:val="00D83762"/>
    <w:rsid w:val="00D92F03"/>
    <w:rsid w:val="00D92F7F"/>
    <w:rsid w:val="00DA1A29"/>
    <w:rsid w:val="00DB0F24"/>
    <w:rsid w:val="00DC6428"/>
    <w:rsid w:val="00E05088"/>
    <w:rsid w:val="00E14AD1"/>
    <w:rsid w:val="00E15197"/>
    <w:rsid w:val="00E44BBB"/>
    <w:rsid w:val="00E46BF5"/>
    <w:rsid w:val="00E553A1"/>
    <w:rsid w:val="00E56DA2"/>
    <w:rsid w:val="00E6011D"/>
    <w:rsid w:val="00E611D5"/>
    <w:rsid w:val="00E61F32"/>
    <w:rsid w:val="00E7071B"/>
    <w:rsid w:val="00E76047"/>
    <w:rsid w:val="00E76832"/>
    <w:rsid w:val="00E91227"/>
    <w:rsid w:val="00E93D82"/>
    <w:rsid w:val="00E94A5E"/>
    <w:rsid w:val="00EC506B"/>
    <w:rsid w:val="00ED3FC0"/>
    <w:rsid w:val="00ED55F8"/>
    <w:rsid w:val="00EE3341"/>
    <w:rsid w:val="00EE4BFA"/>
    <w:rsid w:val="00EF334D"/>
    <w:rsid w:val="00EF775E"/>
    <w:rsid w:val="00F003FF"/>
    <w:rsid w:val="00F146FB"/>
    <w:rsid w:val="00F16AA3"/>
    <w:rsid w:val="00F23304"/>
    <w:rsid w:val="00F2401F"/>
    <w:rsid w:val="00F37064"/>
    <w:rsid w:val="00F40FCD"/>
    <w:rsid w:val="00F41C71"/>
    <w:rsid w:val="00F521EA"/>
    <w:rsid w:val="00F62261"/>
    <w:rsid w:val="00F63309"/>
    <w:rsid w:val="00F6727D"/>
    <w:rsid w:val="00F806EE"/>
    <w:rsid w:val="00FA015E"/>
    <w:rsid w:val="00FA1DAE"/>
    <w:rsid w:val="00FA29AC"/>
    <w:rsid w:val="00FA523D"/>
    <w:rsid w:val="00FA67D5"/>
    <w:rsid w:val="00FC1639"/>
    <w:rsid w:val="00FC2D27"/>
    <w:rsid w:val="00FC647F"/>
    <w:rsid w:val="00FD57E1"/>
    <w:rsid w:val="00FE42A5"/>
    <w:rsid w:val="00FF041D"/>
    <w:rsid w:val="02EB504C"/>
    <w:rsid w:val="03641534"/>
    <w:rsid w:val="04531584"/>
    <w:rsid w:val="04CF04BF"/>
    <w:rsid w:val="04D0786A"/>
    <w:rsid w:val="052F7697"/>
    <w:rsid w:val="060B1477"/>
    <w:rsid w:val="06307CD6"/>
    <w:rsid w:val="081E77C1"/>
    <w:rsid w:val="0825253D"/>
    <w:rsid w:val="0B9A6099"/>
    <w:rsid w:val="0C8E1870"/>
    <w:rsid w:val="0DE83737"/>
    <w:rsid w:val="0F8E4E32"/>
    <w:rsid w:val="120D3FD2"/>
    <w:rsid w:val="12B72623"/>
    <w:rsid w:val="13CD08FF"/>
    <w:rsid w:val="13EA3E31"/>
    <w:rsid w:val="158E25C9"/>
    <w:rsid w:val="159C5147"/>
    <w:rsid w:val="17E43CDF"/>
    <w:rsid w:val="1AD12518"/>
    <w:rsid w:val="1B140F03"/>
    <w:rsid w:val="1C0D3C37"/>
    <w:rsid w:val="1F725D22"/>
    <w:rsid w:val="209B5E70"/>
    <w:rsid w:val="21583C8E"/>
    <w:rsid w:val="220E2B66"/>
    <w:rsid w:val="22775884"/>
    <w:rsid w:val="22AE7C5A"/>
    <w:rsid w:val="23411D96"/>
    <w:rsid w:val="259F2E5F"/>
    <w:rsid w:val="25A5683B"/>
    <w:rsid w:val="26B71396"/>
    <w:rsid w:val="27AE7898"/>
    <w:rsid w:val="297412DA"/>
    <w:rsid w:val="2AAB75B9"/>
    <w:rsid w:val="2BF87A83"/>
    <w:rsid w:val="2E6223EE"/>
    <w:rsid w:val="2E81000B"/>
    <w:rsid w:val="2F435E6E"/>
    <w:rsid w:val="2F687B77"/>
    <w:rsid w:val="30902329"/>
    <w:rsid w:val="31874E64"/>
    <w:rsid w:val="318B08D0"/>
    <w:rsid w:val="323F2E45"/>
    <w:rsid w:val="33691C03"/>
    <w:rsid w:val="34F7642B"/>
    <w:rsid w:val="3551736B"/>
    <w:rsid w:val="35FC17AF"/>
    <w:rsid w:val="36564ADA"/>
    <w:rsid w:val="39065287"/>
    <w:rsid w:val="397F7C19"/>
    <w:rsid w:val="3B147729"/>
    <w:rsid w:val="3CC87506"/>
    <w:rsid w:val="3CF12FBA"/>
    <w:rsid w:val="464F22C7"/>
    <w:rsid w:val="4A0975F4"/>
    <w:rsid w:val="4C45148B"/>
    <w:rsid w:val="5005288F"/>
    <w:rsid w:val="51755EFF"/>
    <w:rsid w:val="51FE610D"/>
    <w:rsid w:val="57C5743E"/>
    <w:rsid w:val="59163C6A"/>
    <w:rsid w:val="594441E6"/>
    <w:rsid w:val="5A4E2F74"/>
    <w:rsid w:val="5AAF0114"/>
    <w:rsid w:val="5D140DBD"/>
    <w:rsid w:val="5DB432C3"/>
    <w:rsid w:val="5ED1607A"/>
    <w:rsid w:val="604C2B7D"/>
    <w:rsid w:val="610A2FAB"/>
    <w:rsid w:val="63901D07"/>
    <w:rsid w:val="6608469C"/>
    <w:rsid w:val="6814395A"/>
    <w:rsid w:val="6A7523E1"/>
    <w:rsid w:val="6A8B6E08"/>
    <w:rsid w:val="6D286EC0"/>
    <w:rsid w:val="6D8F42B7"/>
    <w:rsid w:val="6DFC232A"/>
    <w:rsid w:val="6ECC3A91"/>
    <w:rsid w:val="6EFF5544"/>
    <w:rsid w:val="7057234A"/>
    <w:rsid w:val="70A500BA"/>
    <w:rsid w:val="72465B4B"/>
    <w:rsid w:val="727A226A"/>
    <w:rsid w:val="73A266A5"/>
    <w:rsid w:val="755771D6"/>
    <w:rsid w:val="75E67DB6"/>
    <w:rsid w:val="769E38C6"/>
    <w:rsid w:val="77A279C6"/>
    <w:rsid w:val="7A6238FA"/>
    <w:rsid w:val="7B431369"/>
    <w:rsid w:val="7CAE50B8"/>
    <w:rsid w:val="7CE2314D"/>
    <w:rsid w:val="7CF30BFE"/>
    <w:rsid w:val="7D6C69B4"/>
    <w:rsid w:val="7E89443E"/>
    <w:rsid w:val="7FD93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13" w:semiHidden="0" w:name="heading 7"/>
    <w:lsdException w:qFormat="1" w:uiPriority="14" w:semiHidden="0" w:name="heading 8"/>
    <w:lsdException w:qFormat="1"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8"/>
    <w:qFormat/>
    <w:uiPriority w:val="9"/>
    <w:pPr>
      <w:keepNext/>
      <w:keepLines/>
      <w:numPr>
        <w:ilvl w:val="0"/>
        <w:numId w:val="1"/>
      </w:numPr>
      <w:spacing w:line="360" w:lineRule="auto"/>
      <w:outlineLvl w:val="0"/>
    </w:pPr>
    <w:rPr>
      <w:rFonts w:ascii="Times New Roman" w:hAnsi="Times New Roman" w:eastAsia="黑体"/>
      <w:bCs/>
      <w:kern w:val="44"/>
      <w:sz w:val="32"/>
      <w:szCs w:val="44"/>
    </w:rPr>
  </w:style>
  <w:style w:type="paragraph" w:styleId="4">
    <w:name w:val="heading 2"/>
    <w:basedOn w:val="1"/>
    <w:next w:val="1"/>
    <w:link w:val="39"/>
    <w:unhideWhenUsed/>
    <w:qFormat/>
    <w:uiPriority w:val="9"/>
    <w:pPr>
      <w:keepNext/>
      <w:keepLines/>
      <w:numPr>
        <w:ilvl w:val="1"/>
        <w:numId w:val="1"/>
      </w:numPr>
      <w:spacing w:line="360" w:lineRule="auto"/>
      <w:outlineLvl w:val="1"/>
    </w:pPr>
    <w:rPr>
      <w:rFonts w:ascii="Times New Roman" w:hAnsi="Times New Roman" w:eastAsia="黑体" w:cstheme="majorBidi"/>
      <w:bCs/>
      <w:sz w:val="30"/>
      <w:szCs w:val="32"/>
    </w:rPr>
  </w:style>
  <w:style w:type="paragraph" w:styleId="5">
    <w:name w:val="heading 3"/>
    <w:basedOn w:val="1"/>
    <w:next w:val="1"/>
    <w:link w:val="40"/>
    <w:unhideWhenUsed/>
    <w:qFormat/>
    <w:uiPriority w:val="9"/>
    <w:pPr>
      <w:keepNext/>
      <w:keepLines/>
      <w:numPr>
        <w:ilvl w:val="2"/>
        <w:numId w:val="1"/>
      </w:numPr>
      <w:spacing w:line="360" w:lineRule="auto"/>
      <w:outlineLvl w:val="2"/>
    </w:pPr>
    <w:rPr>
      <w:rFonts w:ascii="Times New Roman" w:hAnsi="Times New Roman" w:eastAsia="黑体"/>
      <w:bCs/>
      <w:sz w:val="28"/>
      <w:szCs w:val="32"/>
    </w:rPr>
  </w:style>
  <w:style w:type="paragraph" w:styleId="2">
    <w:name w:val="heading 4"/>
    <w:basedOn w:val="1"/>
    <w:next w:val="1"/>
    <w:link w:val="41"/>
    <w:unhideWhenUsed/>
    <w:qFormat/>
    <w:uiPriority w:val="9"/>
    <w:pPr>
      <w:keepNext/>
      <w:keepLines/>
      <w:numPr>
        <w:ilvl w:val="3"/>
        <w:numId w:val="1"/>
      </w:numPr>
      <w:spacing w:line="360" w:lineRule="auto"/>
      <w:outlineLvl w:val="3"/>
    </w:pPr>
    <w:rPr>
      <w:rFonts w:eastAsia="宋体" w:asciiTheme="majorHAnsi" w:hAnsiTheme="majorHAnsi" w:cstheme="majorBidi"/>
      <w:bCs/>
      <w:sz w:val="24"/>
      <w:szCs w:val="28"/>
    </w:rPr>
  </w:style>
  <w:style w:type="paragraph" w:styleId="6">
    <w:name w:val="heading 5"/>
    <w:basedOn w:val="1"/>
    <w:next w:val="1"/>
    <w:link w:val="42"/>
    <w:unhideWhenUsed/>
    <w:qFormat/>
    <w:uiPriority w:val="9"/>
    <w:pPr>
      <w:keepNext/>
      <w:keepLines/>
      <w:numPr>
        <w:ilvl w:val="4"/>
        <w:numId w:val="1"/>
      </w:numPr>
      <w:spacing w:line="360" w:lineRule="auto"/>
      <w:outlineLvl w:val="4"/>
    </w:pPr>
    <w:rPr>
      <w:rFonts w:ascii="Times New Roman" w:hAnsi="Times New Roman" w:eastAsia="宋体"/>
      <w:bCs/>
      <w:sz w:val="24"/>
      <w:szCs w:val="28"/>
    </w:rPr>
  </w:style>
  <w:style w:type="paragraph" w:styleId="7">
    <w:name w:val="heading 6"/>
    <w:basedOn w:val="1"/>
    <w:next w:val="1"/>
    <w:link w:val="43"/>
    <w:unhideWhenUsed/>
    <w:qFormat/>
    <w:uiPriority w:val="9"/>
    <w:pPr>
      <w:keepNext/>
      <w:keepLines/>
      <w:numPr>
        <w:ilvl w:val="5"/>
        <w:numId w:val="1"/>
      </w:numPr>
      <w:spacing w:line="360" w:lineRule="auto"/>
      <w:outlineLvl w:val="5"/>
    </w:pPr>
    <w:rPr>
      <w:rFonts w:ascii="Times New Roman" w:hAnsi="Times New Roman" w:eastAsia="宋体" w:cstheme="majorBidi"/>
      <w:bCs/>
      <w:sz w:val="24"/>
      <w:szCs w:val="24"/>
    </w:rPr>
  </w:style>
  <w:style w:type="paragraph" w:styleId="8">
    <w:name w:val="heading 7"/>
    <w:basedOn w:val="1"/>
    <w:next w:val="1"/>
    <w:link w:val="44"/>
    <w:unhideWhenUsed/>
    <w:qFormat/>
    <w:uiPriority w:val="13"/>
    <w:pPr>
      <w:keepNext/>
      <w:keepLines/>
      <w:numPr>
        <w:ilvl w:val="6"/>
        <w:numId w:val="1"/>
      </w:numPr>
      <w:spacing w:line="360" w:lineRule="auto"/>
      <w:outlineLvl w:val="6"/>
    </w:pPr>
    <w:rPr>
      <w:rFonts w:ascii="Times New Roman" w:hAnsi="Times New Roman" w:eastAsia="宋体"/>
      <w:bCs/>
      <w:sz w:val="24"/>
      <w:szCs w:val="24"/>
    </w:rPr>
  </w:style>
  <w:style w:type="paragraph" w:styleId="9">
    <w:name w:val="heading 8"/>
    <w:basedOn w:val="1"/>
    <w:next w:val="1"/>
    <w:link w:val="45"/>
    <w:unhideWhenUsed/>
    <w:qFormat/>
    <w:uiPriority w:val="14"/>
    <w:pPr>
      <w:keepNext/>
      <w:keepLines/>
      <w:numPr>
        <w:ilvl w:val="7"/>
        <w:numId w:val="1"/>
      </w:numPr>
      <w:spacing w:line="360" w:lineRule="auto"/>
      <w:outlineLvl w:val="7"/>
    </w:pPr>
    <w:rPr>
      <w:rFonts w:ascii="Times New Roman" w:hAnsi="Times New Roman" w:eastAsia="宋体" w:cstheme="majorBidi"/>
      <w:sz w:val="24"/>
      <w:szCs w:val="24"/>
    </w:rPr>
  </w:style>
  <w:style w:type="paragraph" w:styleId="10">
    <w:name w:val="heading 9"/>
    <w:basedOn w:val="1"/>
    <w:next w:val="1"/>
    <w:link w:val="46"/>
    <w:unhideWhenUsed/>
    <w:qFormat/>
    <w:uiPriority w:val="15"/>
    <w:pPr>
      <w:keepNext/>
      <w:keepLines/>
      <w:numPr>
        <w:ilvl w:val="8"/>
        <w:numId w:val="1"/>
      </w:numPr>
      <w:spacing w:line="360" w:lineRule="auto"/>
      <w:outlineLvl w:val="8"/>
    </w:pPr>
    <w:rPr>
      <w:rFonts w:ascii="Times New Roman" w:hAnsi="Times New Roman" w:eastAsia="宋体" w:cstheme="majorBidi"/>
      <w:sz w:val="24"/>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8890"/>
      </w:tabs>
      <w:spacing w:line="300" w:lineRule="auto"/>
      <w:ind w:left="2625" w:leftChars="1250"/>
    </w:pPr>
    <w:rPr>
      <w:sz w:val="24"/>
    </w:rPr>
  </w:style>
  <w:style w:type="paragraph" w:styleId="12">
    <w:name w:val="Normal Indent"/>
    <w:basedOn w:val="1"/>
    <w:qFormat/>
    <w:uiPriority w:val="0"/>
    <w:pPr>
      <w:ind w:firstLine="420" w:firstLineChars="200"/>
    </w:pPr>
  </w:style>
  <w:style w:type="paragraph" w:styleId="13">
    <w:name w:val="caption"/>
    <w:basedOn w:val="1"/>
    <w:next w:val="1"/>
    <w:unhideWhenUsed/>
    <w:qFormat/>
    <w:uiPriority w:val="35"/>
    <w:rPr>
      <w:rFonts w:eastAsia="黑体" w:asciiTheme="majorHAnsi" w:hAnsiTheme="majorHAnsi" w:cstheme="majorBidi"/>
      <w:sz w:val="20"/>
      <w:szCs w:val="20"/>
    </w:rPr>
  </w:style>
  <w:style w:type="paragraph" w:styleId="14">
    <w:name w:val="Document Map"/>
    <w:basedOn w:val="1"/>
    <w:link w:val="73"/>
    <w:unhideWhenUsed/>
    <w:qFormat/>
    <w:uiPriority w:val="99"/>
    <w:rPr>
      <w:rFonts w:ascii="宋体" w:eastAsia="宋体"/>
      <w:sz w:val="24"/>
      <w:szCs w:val="24"/>
    </w:rPr>
  </w:style>
  <w:style w:type="paragraph" w:styleId="15">
    <w:name w:val="annotation text"/>
    <w:basedOn w:val="1"/>
    <w:link w:val="56"/>
    <w:unhideWhenUsed/>
    <w:qFormat/>
    <w:uiPriority w:val="99"/>
    <w:pPr>
      <w:jc w:val="left"/>
    </w:pPr>
  </w:style>
  <w:style w:type="paragraph" w:styleId="16">
    <w:name w:val="Body Text"/>
    <w:basedOn w:val="1"/>
    <w:link w:val="91"/>
    <w:semiHidden/>
    <w:unhideWhenUsed/>
    <w:qFormat/>
    <w:uiPriority w:val="99"/>
    <w:pPr>
      <w:spacing w:after="120"/>
    </w:pPr>
    <w:rPr>
      <w:rFonts w:ascii="Times New Roman" w:hAnsi="Times New Roman" w:eastAsia="宋体" w:cs="Times New Roman"/>
      <w:sz w:val="28"/>
      <w:szCs w:val="24"/>
    </w:rPr>
  </w:style>
  <w:style w:type="paragraph" w:styleId="17">
    <w:name w:val="toc 5"/>
    <w:basedOn w:val="1"/>
    <w:next w:val="1"/>
    <w:unhideWhenUsed/>
    <w:qFormat/>
    <w:uiPriority w:val="39"/>
    <w:pPr>
      <w:tabs>
        <w:tab w:val="right" w:leader="dot" w:pos="8890"/>
      </w:tabs>
      <w:spacing w:line="300" w:lineRule="auto"/>
      <w:ind w:left="1785" w:leftChars="850"/>
    </w:pPr>
    <w:rPr>
      <w:sz w:val="24"/>
    </w:rPr>
  </w:style>
  <w:style w:type="paragraph" w:styleId="18">
    <w:name w:val="toc 3"/>
    <w:basedOn w:val="1"/>
    <w:next w:val="1"/>
    <w:unhideWhenUsed/>
    <w:qFormat/>
    <w:uiPriority w:val="39"/>
    <w:pPr>
      <w:widowControl/>
      <w:tabs>
        <w:tab w:val="right" w:leader="dot" w:pos="8900"/>
      </w:tabs>
      <w:spacing w:line="300" w:lineRule="auto"/>
      <w:ind w:left="1050" w:leftChars="500"/>
      <w:jc w:val="left"/>
    </w:pPr>
    <w:rPr>
      <w:rFonts w:cs="Times New Roman"/>
      <w:kern w:val="0"/>
      <w:sz w:val="24"/>
    </w:rPr>
  </w:style>
  <w:style w:type="paragraph" w:styleId="19">
    <w:name w:val="Plain Text"/>
    <w:basedOn w:val="1"/>
    <w:link w:val="51"/>
    <w:qFormat/>
    <w:uiPriority w:val="99"/>
    <w:rPr>
      <w:rFonts w:ascii="宋体" w:hAnsi="Courier New" w:eastAsia="宋体" w:cs="Times New Roman"/>
      <w:szCs w:val="21"/>
    </w:rPr>
  </w:style>
  <w:style w:type="paragraph" w:styleId="20">
    <w:name w:val="toc 8"/>
    <w:basedOn w:val="1"/>
    <w:next w:val="1"/>
    <w:unhideWhenUsed/>
    <w:qFormat/>
    <w:uiPriority w:val="39"/>
    <w:pPr>
      <w:tabs>
        <w:tab w:val="right" w:leader="dot" w:pos="8890"/>
      </w:tabs>
      <w:spacing w:line="300" w:lineRule="auto"/>
      <w:ind w:left="3045" w:leftChars="1450"/>
    </w:pPr>
    <w:rPr>
      <w:sz w:val="24"/>
    </w:rPr>
  </w:style>
  <w:style w:type="paragraph" w:styleId="21">
    <w:name w:val="Date"/>
    <w:basedOn w:val="1"/>
    <w:next w:val="1"/>
    <w:link w:val="47"/>
    <w:semiHidden/>
    <w:unhideWhenUsed/>
    <w:qFormat/>
    <w:uiPriority w:val="99"/>
    <w:pPr>
      <w:ind w:left="100" w:leftChars="2500"/>
    </w:pPr>
  </w:style>
  <w:style w:type="paragraph" w:styleId="22">
    <w:name w:val="Balloon Text"/>
    <w:basedOn w:val="1"/>
    <w:link w:val="52"/>
    <w:unhideWhenUsed/>
    <w:qFormat/>
    <w:uiPriority w:val="99"/>
    <w:rPr>
      <w:sz w:val="18"/>
      <w:szCs w:val="18"/>
    </w:rPr>
  </w:style>
  <w:style w:type="paragraph" w:styleId="23">
    <w:name w:val="footer"/>
    <w:basedOn w:val="1"/>
    <w:link w:val="49"/>
    <w:unhideWhenUsed/>
    <w:qFormat/>
    <w:uiPriority w:val="99"/>
    <w:pPr>
      <w:tabs>
        <w:tab w:val="center" w:pos="4153"/>
        <w:tab w:val="right" w:pos="8306"/>
      </w:tabs>
      <w:snapToGrid w:val="0"/>
      <w:jc w:val="left"/>
    </w:pPr>
    <w:rPr>
      <w:sz w:val="18"/>
      <w:szCs w:val="18"/>
    </w:rPr>
  </w:style>
  <w:style w:type="paragraph" w:styleId="24">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unhideWhenUsed/>
    <w:qFormat/>
    <w:uiPriority w:val="39"/>
    <w:pPr>
      <w:widowControl/>
      <w:tabs>
        <w:tab w:val="right" w:leader="dot" w:pos="8890"/>
      </w:tabs>
      <w:adjustRightInd w:val="0"/>
      <w:snapToGrid w:val="0"/>
      <w:spacing w:line="300" w:lineRule="auto"/>
      <w:jc w:val="left"/>
    </w:pPr>
    <w:rPr>
      <w:rFonts w:cs="Times New Roman"/>
      <w:b/>
      <w:kern w:val="0"/>
      <w:sz w:val="24"/>
    </w:rPr>
  </w:style>
  <w:style w:type="paragraph" w:styleId="26">
    <w:name w:val="toc 4"/>
    <w:basedOn w:val="1"/>
    <w:next w:val="1"/>
    <w:unhideWhenUsed/>
    <w:qFormat/>
    <w:uiPriority w:val="39"/>
    <w:pPr>
      <w:tabs>
        <w:tab w:val="right" w:leader="dot" w:pos="8890"/>
      </w:tabs>
      <w:spacing w:line="300" w:lineRule="auto"/>
      <w:ind w:left="1365" w:leftChars="650"/>
    </w:pPr>
    <w:rPr>
      <w:sz w:val="24"/>
    </w:rPr>
  </w:style>
  <w:style w:type="paragraph" w:styleId="27">
    <w:name w:val="toc 6"/>
    <w:basedOn w:val="1"/>
    <w:next w:val="1"/>
    <w:unhideWhenUsed/>
    <w:qFormat/>
    <w:uiPriority w:val="39"/>
    <w:pPr>
      <w:tabs>
        <w:tab w:val="right" w:leader="dot" w:pos="8890"/>
      </w:tabs>
      <w:spacing w:line="300" w:lineRule="auto"/>
      <w:ind w:left="2205" w:leftChars="1050"/>
    </w:pPr>
    <w:rPr>
      <w:sz w:val="24"/>
    </w:rPr>
  </w:style>
  <w:style w:type="paragraph" w:styleId="28">
    <w:name w:val="toc 2"/>
    <w:basedOn w:val="1"/>
    <w:next w:val="1"/>
    <w:unhideWhenUsed/>
    <w:qFormat/>
    <w:uiPriority w:val="39"/>
    <w:pPr>
      <w:widowControl/>
      <w:tabs>
        <w:tab w:val="right" w:leader="dot" w:pos="8900"/>
      </w:tabs>
      <w:spacing w:line="300" w:lineRule="auto"/>
      <w:ind w:left="200" w:leftChars="200"/>
      <w:jc w:val="left"/>
    </w:pPr>
    <w:rPr>
      <w:rFonts w:cs="Times New Roman"/>
      <w:kern w:val="0"/>
      <w:sz w:val="24"/>
    </w:rPr>
  </w:style>
  <w:style w:type="paragraph" w:styleId="29">
    <w:name w:val="toc 9"/>
    <w:basedOn w:val="1"/>
    <w:next w:val="1"/>
    <w:unhideWhenUsed/>
    <w:qFormat/>
    <w:uiPriority w:val="39"/>
    <w:pPr>
      <w:tabs>
        <w:tab w:val="right" w:leader="dot" w:pos="8890"/>
      </w:tabs>
      <w:adjustRightInd w:val="0"/>
      <w:snapToGrid w:val="0"/>
      <w:spacing w:line="300" w:lineRule="auto"/>
      <w:ind w:left="3465" w:leftChars="1650"/>
    </w:pPr>
    <w:rPr>
      <w:sz w:val="24"/>
    </w:rPr>
  </w:style>
  <w:style w:type="paragraph" w:styleId="30">
    <w:name w:val="Normal (Web)"/>
    <w:basedOn w:val="1"/>
    <w:unhideWhenUsed/>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styleId="31">
    <w:name w:val="annotation subject"/>
    <w:basedOn w:val="15"/>
    <w:next w:val="15"/>
    <w:link w:val="58"/>
    <w:unhideWhenUsed/>
    <w:qFormat/>
    <w:uiPriority w:val="99"/>
    <w:rPr>
      <w:b/>
      <w:bCs/>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6">
    <w:name w:val="Hyperlink"/>
    <w:basedOn w:val="34"/>
    <w:unhideWhenUsed/>
    <w:qFormat/>
    <w:uiPriority w:val="99"/>
    <w:rPr>
      <w:color w:val="0563C1" w:themeColor="hyperlink"/>
      <w:u w:val="single"/>
      <w14:textFill>
        <w14:solidFill>
          <w14:schemeClr w14:val="hlink"/>
        </w14:solidFill>
      </w14:textFill>
    </w:rPr>
  </w:style>
  <w:style w:type="character" w:styleId="37">
    <w:name w:val="annotation reference"/>
    <w:qFormat/>
    <w:uiPriority w:val="99"/>
    <w:rPr>
      <w:sz w:val="21"/>
    </w:rPr>
  </w:style>
  <w:style w:type="character" w:customStyle="1" w:styleId="38">
    <w:name w:val="标题 1 字符"/>
    <w:basedOn w:val="34"/>
    <w:link w:val="3"/>
    <w:qFormat/>
    <w:uiPriority w:val="0"/>
    <w:rPr>
      <w:rFonts w:ascii="Times New Roman" w:hAnsi="Times New Roman" w:eastAsia="黑体"/>
      <w:bCs/>
      <w:kern w:val="44"/>
      <w:sz w:val="32"/>
      <w:szCs w:val="44"/>
    </w:rPr>
  </w:style>
  <w:style w:type="character" w:customStyle="1" w:styleId="39">
    <w:name w:val="标题 2 字符"/>
    <w:basedOn w:val="34"/>
    <w:link w:val="4"/>
    <w:qFormat/>
    <w:uiPriority w:val="9"/>
    <w:rPr>
      <w:rFonts w:ascii="Times New Roman" w:hAnsi="Times New Roman" w:eastAsia="黑体" w:cstheme="majorBidi"/>
      <w:bCs/>
      <w:sz w:val="30"/>
      <w:szCs w:val="32"/>
    </w:rPr>
  </w:style>
  <w:style w:type="character" w:customStyle="1" w:styleId="40">
    <w:name w:val="标题 3 字符"/>
    <w:basedOn w:val="34"/>
    <w:link w:val="5"/>
    <w:qFormat/>
    <w:uiPriority w:val="9"/>
    <w:rPr>
      <w:rFonts w:ascii="Times New Roman" w:hAnsi="Times New Roman" w:eastAsia="黑体"/>
      <w:bCs/>
      <w:sz w:val="28"/>
      <w:szCs w:val="32"/>
    </w:rPr>
  </w:style>
  <w:style w:type="character" w:customStyle="1" w:styleId="41">
    <w:name w:val="标题 4 字符"/>
    <w:basedOn w:val="34"/>
    <w:link w:val="2"/>
    <w:qFormat/>
    <w:uiPriority w:val="99"/>
    <w:rPr>
      <w:rFonts w:eastAsia="宋体" w:asciiTheme="majorHAnsi" w:hAnsiTheme="majorHAnsi" w:cstheme="majorBidi"/>
      <w:bCs/>
      <w:sz w:val="24"/>
      <w:szCs w:val="28"/>
    </w:rPr>
  </w:style>
  <w:style w:type="character" w:customStyle="1" w:styleId="42">
    <w:name w:val="标题 5 字符"/>
    <w:basedOn w:val="34"/>
    <w:link w:val="6"/>
    <w:qFormat/>
    <w:uiPriority w:val="99"/>
    <w:rPr>
      <w:rFonts w:ascii="Times New Roman" w:hAnsi="Times New Roman" w:eastAsia="宋体"/>
      <w:bCs/>
      <w:sz w:val="24"/>
      <w:szCs w:val="28"/>
    </w:rPr>
  </w:style>
  <w:style w:type="character" w:customStyle="1" w:styleId="43">
    <w:name w:val="标题 6 字符"/>
    <w:basedOn w:val="34"/>
    <w:link w:val="7"/>
    <w:qFormat/>
    <w:uiPriority w:val="99"/>
    <w:rPr>
      <w:rFonts w:ascii="Times New Roman" w:hAnsi="Times New Roman" w:eastAsia="宋体" w:cstheme="majorBidi"/>
      <w:bCs/>
      <w:sz w:val="24"/>
      <w:szCs w:val="24"/>
    </w:rPr>
  </w:style>
  <w:style w:type="character" w:customStyle="1" w:styleId="44">
    <w:name w:val="标题 7 字符"/>
    <w:basedOn w:val="34"/>
    <w:link w:val="8"/>
    <w:qFormat/>
    <w:uiPriority w:val="99"/>
    <w:rPr>
      <w:rFonts w:ascii="Times New Roman" w:hAnsi="Times New Roman" w:eastAsia="宋体"/>
      <w:bCs/>
      <w:sz w:val="24"/>
      <w:szCs w:val="24"/>
    </w:rPr>
  </w:style>
  <w:style w:type="character" w:customStyle="1" w:styleId="45">
    <w:name w:val="标题 8 字符"/>
    <w:basedOn w:val="34"/>
    <w:link w:val="9"/>
    <w:qFormat/>
    <w:uiPriority w:val="99"/>
    <w:rPr>
      <w:rFonts w:ascii="Times New Roman" w:hAnsi="Times New Roman" w:eastAsia="宋体" w:cstheme="majorBidi"/>
      <w:sz w:val="24"/>
      <w:szCs w:val="24"/>
    </w:rPr>
  </w:style>
  <w:style w:type="character" w:customStyle="1" w:styleId="46">
    <w:name w:val="标题 9 字符"/>
    <w:basedOn w:val="34"/>
    <w:link w:val="10"/>
    <w:qFormat/>
    <w:uiPriority w:val="99"/>
    <w:rPr>
      <w:rFonts w:ascii="Times New Roman" w:hAnsi="Times New Roman" w:eastAsia="宋体" w:cstheme="majorBidi"/>
      <w:sz w:val="24"/>
      <w:szCs w:val="21"/>
    </w:rPr>
  </w:style>
  <w:style w:type="character" w:customStyle="1" w:styleId="47">
    <w:name w:val="日期 字符"/>
    <w:basedOn w:val="34"/>
    <w:link w:val="21"/>
    <w:semiHidden/>
    <w:qFormat/>
    <w:uiPriority w:val="99"/>
  </w:style>
  <w:style w:type="character" w:customStyle="1" w:styleId="48">
    <w:name w:val="页眉 字符"/>
    <w:basedOn w:val="34"/>
    <w:link w:val="24"/>
    <w:qFormat/>
    <w:uiPriority w:val="99"/>
    <w:rPr>
      <w:sz w:val="18"/>
      <w:szCs w:val="18"/>
    </w:rPr>
  </w:style>
  <w:style w:type="character" w:customStyle="1" w:styleId="49">
    <w:name w:val="页脚 字符"/>
    <w:basedOn w:val="34"/>
    <w:link w:val="23"/>
    <w:qFormat/>
    <w:uiPriority w:val="99"/>
    <w:rPr>
      <w:sz w:val="18"/>
      <w:szCs w:val="18"/>
    </w:rPr>
  </w:style>
  <w:style w:type="paragraph" w:styleId="50">
    <w:name w:val="List Paragraph"/>
    <w:basedOn w:val="1"/>
    <w:link w:val="57"/>
    <w:qFormat/>
    <w:uiPriority w:val="34"/>
    <w:pPr>
      <w:ind w:firstLine="420" w:firstLineChars="200"/>
    </w:pPr>
  </w:style>
  <w:style w:type="character" w:customStyle="1" w:styleId="51">
    <w:name w:val="纯文本 字符"/>
    <w:basedOn w:val="34"/>
    <w:link w:val="19"/>
    <w:qFormat/>
    <w:uiPriority w:val="99"/>
    <w:rPr>
      <w:rFonts w:ascii="宋体" w:hAnsi="Courier New" w:eastAsia="宋体" w:cs="Times New Roman"/>
      <w:szCs w:val="21"/>
    </w:rPr>
  </w:style>
  <w:style w:type="character" w:customStyle="1" w:styleId="52">
    <w:name w:val="批注框文本 字符"/>
    <w:basedOn w:val="34"/>
    <w:link w:val="22"/>
    <w:semiHidden/>
    <w:qFormat/>
    <w:uiPriority w:val="99"/>
    <w:rPr>
      <w:sz w:val="18"/>
      <w:szCs w:val="18"/>
    </w:rPr>
  </w:style>
  <w:style w:type="paragraph" w:customStyle="1" w:styleId="53">
    <w:name w:val="Table Paragraph"/>
    <w:basedOn w:val="1"/>
    <w:qFormat/>
    <w:uiPriority w:val="1"/>
    <w:pPr>
      <w:autoSpaceDE w:val="0"/>
      <w:autoSpaceDN w:val="0"/>
      <w:jc w:val="left"/>
    </w:pPr>
    <w:rPr>
      <w:rFonts w:ascii="宋体" w:hAnsi="宋体" w:eastAsia="宋体" w:cs="宋体"/>
      <w:kern w:val="0"/>
      <w:sz w:val="22"/>
      <w:lang w:eastAsia="en-US"/>
    </w:rPr>
  </w:style>
  <w:style w:type="paragraph" w:styleId="54">
    <w:name w:val="Quote"/>
    <w:basedOn w:val="1"/>
    <w:next w:val="1"/>
    <w:link w:val="55"/>
    <w:qFormat/>
    <w:uiPriority w:val="29"/>
    <w:rPr>
      <w:i/>
      <w:iCs/>
      <w:color w:val="000000" w:themeColor="text1"/>
      <w14:textFill>
        <w14:solidFill>
          <w14:schemeClr w14:val="tx1"/>
        </w14:solidFill>
      </w14:textFill>
    </w:rPr>
  </w:style>
  <w:style w:type="character" w:customStyle="1" w:styleId="55">
    <w:name w:val="引用 字符"/>
    <w:basedOn w:val="34"/>
    <w:link w:val="54"/>
    <w:qFormat/>
    <w:uiPriority w:val="29"/>
    <w:rPr>
      <w:i/>
      <w:iCs/>
      <w:color w:val="000000" w:themeColor="text1"/>
      <w14:textFill>
        <w14:solidFill>
          <w14:schemeClr w14:val="tx1"/>
        </w14:solidFill>
      </w14:textFill>
    </w:rPr>
  </w:style>
  <w:style w:type="character" w:customStyle="1" w:styleId="56">
    <w:name w:val="批注文字 字符"/>
    <w:basedOn w:val="34"/>
    <w:link w:val="15"/>
    <w:qFormat/>
    <w:uiPriority w:val="99"/>
  </w:style>
  <w:style w:type="character" w:customStyle="1" w:styleId="57">
    <w:name w:val="列表段落 字符"/>
    <w:link w:val="50"/>
    <w:qFormat/>
    <w:uiPriority w:val="34"/>
  </w:style>
  <w:style w:type="character" w:customStyle="1" w:styleId="58">
    <w:name w:val="批注主题 字符"/>
    <w:basedOn w:val="56"/>
    <w:link w:val="31"/>
    <w:qFormat/>
    <w:uiPriority w:val="99"/>
    <w:rPr>
      <w:b/>
      <w:bCs/>
    </w:rPr>
  </w:style>
  <w:style w:type="character" w:customStyle="1" w:styleId="59">
    <w:name w:val="图题注1 Char"/>
    <w:link w:val="60"/>
    <w:qFormat/>
    <w:uiPriority w:val="0"/>
    <w:rPr>
      <w:rFonts w:ascii="仿宋" w:hAnsi="仿宋" w:eastAsia="仿宋" w:cs="Times New Roman"/>
      <w:szCs w:val="20"/>
    </w:rPr>
  </w:style>
  <w:style w:type="paragraph" w:customStyle="1" w:styleId="60">
    <w:name w:val="图题注1"/>
    <w:basedOn w:val="13"/>
    <w:link w:val="59"/>
    <w:qFormat/>
    <w:uiPriority w:val="0"/>
    <w:pPr>
      <w:spacing w:line="360" w:lineRule="auto"/>
      <w:jc w:val="center"/>
    </w:pPr>
    <w:rPr>
      <w:rFonts w:ascii="仿宋" w:hAnsi="仿宋" w:eastAsia="仿宋" w:cs="Times New Roman"/>
      <w:sz w:val="21"/>
    </w:rPr>
  </w:style>
  <w:style w:type="character" w:customStyle="1" w:styleId="61">
    <w:name w:val="列出段落字符"/>
    <w:link w:val="62"/>
    <w:qFormat/>
    <w:uiPriority w:val="34"/>
    <w:rPr>
      <w:rFonts w:ascii="Calibri" w:hAnsi="Calibri" w:eastAsia="宋体" w:cs="Times New Roman"/>
    </w:rPr>
  </w:style>
  <w:style w:type="paragraph" w:customStyle="1" w:styleId="62">
    <w:name w:val="列出段落1"/>
    <w:basedOn w:val="1"/>
    <w:link w:val="61"/>
    <w:qFormat/>
    <w:uiPriority w:val="34"/>
    <w:pPr>
      <w:ind w:firstLine="420" w:firstLineChars="200"/>
    </w:pPr>
    <w:rPr>
      <w:rFonts w:ascii="Calibri" w:hAnsi="Calibri" w:eastAsia="宋体" w:cs="Times New Roman"/>
    </w:rPr>
  </w:style>
  <w:style w:type="paragraph" w:customStyle="1" w:styleId="63">
    <w:name w:val="TOC Heading"/>
    <w:basedOn w:val="3"/>
    <w:next w:val="1"/>
    <w:semiHidden/>
    <w:unhideWhenUsed/>
    <w:qFormat/>
    <w:uiPriority w:val="39"/>
    <w:pPr>
      <w:widowControl/>
      <w:numPr>
        <w:numId w:val="0"/>
      </w:numPr>
      <w:spacing w:before="480" w:line="276" w:lineRule="auto"/>
      <w:jc w:val="left"/>
      <w:outlineLvl w:val="9"/>
    </w:pPr>
    <w:rPr>
      <w:rFonts w:asciiTheme="majorHAnsi" w:hAnsiTheme="majorHAnsi" w:eastAsiaTheme="majorEastAsia" w:cstheme="majorBidi"/>
      <w:b/>
      <w:color w:val="2E75B6" w:themeColor="accent1" w:themeShade="BF"/>
      <w:kern w:val="0"/>
      <w:sz w:val="28"/>
      <w:szCs w:val="28"/>
    </w:rPr>
  </w:style>
  <w:style w:type="paragraph" w:styleId="6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65">
    <w:name w:val="font21"/>
    <w:qFormat/>
    <w:uiPriority w:val="0"/>
    <w:rPr>
      <w:rFonts w:hint="eastAsia" w:ascii="宋体" w:hAnsi="宋体" w:eastAsia="宋体" w:cs="宋体"/>
      <w:color w:val="000000"/>
      <w:sz w:val="20"/>
      <w:szCs w:val="20"/>
      <w:u w:val="none"/>
    </w:rPr>
  </w:style>
  <w:style w:type="character" w:customStyle="1" w:styleId="66">
    <w:name w:val="font51"/>
    <w:qFormat/>
    <w:uiPriority w:val="0"/>
    <w:rPr>
      <w:rFonts w:ascii="Wingdings 2" w:hAnsi="Wingdings 2" w:eastAsia="Wingdings 2" w:cs="Wingdings 2"/>
      <w:color w:val="0C0C0C"/>
      <w:sz w:val="20"/>
      <w:szCs w:val="20"/>
      <w:u w:val="none"/>
    </w:rPr>
  </w:style>
  <w:style w:type="character" w:customStyle="1" w:styleId="67">
    <w:name w:val="font61"/>
    <w:qFormat/>
    <w:uiPriority w:val="0"/>
    <w:rPr>
      <w:rFonts w:ascii="Arial" w:hAnsi="Arial" w:cs="Arial"/>
      <w:color w:val="000000"/>
      <w:sz w:val="20"/>
      <w:szCs w:val="20"/>
      <w:u w:val="none"/>
    </w:rPr>
  </w:style>
  <w:style w:type="character" w:customStyle="1" w:styleId="68">
    <w:name w:val="font01"/>
    <w:qFormat/>
    <w:uiPriority w:val="0"/>
    <w:rPr>
      <w:rFonts w:hint="eastAsia" w:ascii="宋体" w:hAnsi="宋体" w:eastAsia="宋体" w:cs="宋体"/>
      <w:color w:val="000000"/>
      <w:sz w:val="20"/>
      <w:szCs w:val="20"/>
      <w:u w:val="none"/>
    </w:rPr>
  </w:style>
  <w:style w:type="character" w:customStyle="1" w:styleId="69">
    <w:name w:val="font31"/>
    <w:qFormat/>
    <w:uiPriority w:val="0"/>
    <w:rPr>
      <w:rFonts w:hint="eastAsia" w:ascii="宋体" w:hAnsi="宋体" w:eastAsia="宋体" w:cs="宋体"/>
      <w:color w:val="000000"/>
      <w:sz w:val="20"/>
      <w:szCs w:val="20"/>
      <w:u w:val="single"/>
    </w:rPr>
  </w:style>
  <w:style w:type="character" w:customStyle="1" w:styleId="70">
    <w:name w:val="表格文字 Char"/>
    <w:link w:val="71"/>
    <w:qFormat/>
    <w:uiPriority w:val="0"/>
    <w:rPr>
      <w:rFonts w:ascii="宋体" w:hAnsi="宋体" w:eastAsia="楷体_GB2312" w:cs="Times New Roman"/>
      <w:snapToGrid w:val="0"/>
      <w:kern w:val="0"/>
      <w:szCs w:val="20"/>
    </w:rPr>
  </w:style>
  <w:style w:type="paragraph" w:customStyle="1" w:styleId="71">
    <w:name w:val="表格文字"/>
    <w:next w:val="1"/>
    <w:link w:val="70"/>
    <w:qFormat/>
    <w:uiPriority w:val="0"/>
    <w:pPr>
      <w:adjustRightInd w:val="0"/>
      <w:snapToGrid w:val="0"/>
      <w:spacing w:line="360" w:lineRule="exact"/>
      <w:jc w:val="center"/>
    </w:pPr>
    <w:rPr>
      <w:rFonts w:ascii="宋体" w:hAnsi="宋体" w:eastAsia="楷体_GB2312" w:cs="Times New Roman"/>
      <w:snapToGrid w:val="0"/>
      <w:kern w:val="0"/>
      <w:sz w:val="21"/>
      <w:szCs w:val="20"/>
      <w:lang w:val="en-US" w:eastAsia="zh-CN" w:bidi="ar-SA"/>
    </w:rPr>
  </w:style>
  <w:style w:type="character" w:customStyle="1" w:styleId="72">
    <w:name w:val="font71"/>
    <w:qFormat/>
    <w:uiPriority w:val="0"/>
    <w:rPr>
      <w:rFonts w:hint="eastAsia" w:ascii="宋体" w:hAnsi="宋体" w:eastAsia="宋体" w:cs="宋体"/>
      <w:color w:val="000000"/>
      <w:sz w:val="20"/>
      <w:szCs w:val="20"/>
      <w:u w:val="none"/>
    </w:rPr>
  </w:style>
  <w:style w:type="character" w:customStyle="1" w:styleId="73">
    <w:name w:val="文档结构图 字符"/>
    <w:link w:val="14"/>
    <w:qFormat/>
    <w:uiPriority w:val="99"/>
    <w:rPr>
      <w:rFonts w:ascii="宋体" w:eastAsia="宋体"/>
      <w:sz w:val="24"/>
      <w:szCs w:val="24"/>
    </w:rPr>
  </w:style>
  <w:style w:type="character" w:customStyle="1" w:styleId="74">
    <w:name w:val="正文2 Char"/>
    <w:link w:val="75"/>
    <w:qFormat/>
    <w:uiPriority w:val="0"/>
    <w:rPr>
      <w:rFonts w:ascii="Times New Roman" w:hAnsi="Times New Roman" w:eastAsia="仿宋_GB2312" w:cs="Times New Roman"/>
      <w:sz w:val="24"/>
      <w:szCs w:val="24"/>
    </w:rPr>
  </w:style>
  <w:style w:type="paragraph" w:customStyle="1" w:styleId="75">
    <w:name w:val="正文2"/>
    <w:basedOn w:val="1"/>
    <w:link w:val="74"/>
    <w:qFormat/>
    <w:uiPriority w:val="0"/>
    <w:pPr>
      <w:spacing w:line="360" w:lineRule="auto"/>
    </w:pPr>
    <w:rPr>
      <w:rFonts w:ascii="Times New Roman" w:hAnsi="Times New Roman" w:eastAsia="仿宋_GB2312" w:cs="Times New Roman"/>
      <w:sz w:val="24"/>
      <w:szCs w:val="24"/>
    </w:rPr>
  </w:style>
  <w:style w:type="character" w:customStyle="1" w:styleId="76">
    <w:name w:val="font41"/>
    <w:qFormat/>
    <w:uiPriority w:val="0"/>
    <w:rPr>
      <w:rFonts w:ascii="Calibri" w:hAnsi="Calibri" w:cs="Calibri"/>
      <w:color w:val="000000"/>
      <w:sz w:val="20"/>
      <w:szCs w:val="20"/>
      <w:u w:val="none"/>
    </w:rPr>
  </w:style>
  <w:style w:type="character" w:customStyle="1" w:styleId="77">
    <w:name w:val="font11"/>
    <w:qFormat/>
    <w:uiPriority w:val="0"/>
    <w:rPr>
      <w:rFonts w:hint="eastAsia" w:ascii="宋体" w:hAnsi="宋体" w:eastAsia="宋体" w:cs="宋体"/>
      <w:color w:val="000000"/>
      <w:sz w:val="20"/>
      <w:szCs w:val="20"/>
      <w:u w:val="none"/>
    </w:rPr>
  </w:style>
  <w:style w:type="paragraph" w:customStyle="1" w:styleId="78">
    <w:name w:val="列出段落2"/>
    <w:basedOn w:val="1"/>
    <w:qFormat/>
    <w:uiPriority w:val="99"/>
    <w:pPr>
      <w:ind w:firstLine="420" w:firstLineChars="200"/>
    </w:pPr>
    <w:rPr>
      <w:rFonts w:ascii="Calibri" w:hAnsi="Calibri" w:eastAsia="宋体" w:cs="Times New Roman"/>
    </w:rPr>
  </w:style>
  <w:style w:type="paragraph" w:customStyle="1" w:styleId="79">
    <w:name w:val="!我的正文 Ctr+Q"/>
    <w:basedOn w:val="80"/>
    <w:qFormat/>
    <w:uiPriority w:val="0"/>
    <w:pPr>
      <w:adjustRightInd w:val="0"/>
      <w:snapToGrid w:val="0"/>
      <w:ind w:firstLine="480"/>
    </w:pPr>
    <w:rPr>
      <w:rFonts w:ascii="宋体"/>
    </w:rPr>
  </w:style>
  <w:style w:type="paragraph" w:customStyle="1" w:styleId="80">
    <w:name w:val="!模板基准"/>
    <w:basedOn w:val="1"/>
    <w:semiHidden/>
    <w:qFormat/>
    <w:uiPriority w:val="0"/>
    <w:pPr>
      <w:widowControl/>
      <w:spacing w:before="50" w:beforeLines="50" w:after="50" w:afterLines="50"/>
      <w:ind w:firstLine="200" w:firstLineChars="200"/>
      <w:jc w:val="left"/>
    </w:pPr>
    <w:rPr>
      <w:rFonts w:ascii="Arial" w:hAnsi="Arial" w:eastAsia="宋体" w:cs="Times New Roman"/>
      <w:sz w:val="24"/>
      <w:szCs w:val="21"/>
    </w:rPr>
  </w:style>
  <w:style w:type="character" w:customStyle="1" w:styleId="81">
    <w:name w:val="文档结构图 字符1"/>
    <w:basedOn w:val="34"/>
    <w:semiHidden/>
    <w:qFormat/>
    <w:uiPriority w:val="99"/>
    <w:rPr>
      <w:rFonts w:ascii="Microsoft YaHei UI" w:eastAsia="Microsoft YaHei UI"/>
      <w:sz w:val="18"/>
      <w:szCs w:val="18"/>
    </w:rPr>
  </w:style>
  <w:style w:type="character" w:customStyle="1" w:styleId="82">
    <w:name w:val="文档结构图 Char1"/>
    <w:basedOn w:val="34"/>
    <w:semiHidden/>
    <w:qFormat/>
    <w:uiPriority w:val="99"/>
    <w:rPr>
      <w:rFonts w:ascii="宋体" w:eastAsia="宋体"/>
      <w:sz w:val="18"/>
      <w:szCs w:val="18"/>
    </w:rPr>
  </w:style>
  <w:style w:type="paragraph" w:customStyle="1" w:styleId="83">
    <w:name w:val="正文打点"/>
    <w:basedOn w:val="84"/>
    <w:qFormat/>
    <w:uiPriority w:val="0"/>
    <w:pPr>
      <w:ind w:left="420" w:firstLine="0" w:firstLineChars="0"/>
    </w:pPr>
  </w:style>
  <w:style w:type="paragraph" w:customStyle="1" w:styleId="84">
    <w:name w:val="正文new"/>
    <w:basedOn w:val="1"/>
    <w:qFormat/>
    <w:uiPriority w:val="0"/>
    <w:pPr>
      <w:ind w:firstLine="560" w:firstLineChars="200"/>
    </w:pPr>
    <w:rPr>
      <w:rFonts w:ascii="宋体" w:hAnsi="宋体" w:eastAsia="宋体" w:cs="Times New Roman"/>
      <w:szCs w:val="24"/>
    </w:rPr>
  </w:style>
  <w:style w:type="paragraph" w:customStyle="1" w:styleId="8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86">
    <w:name w:val="无间隔2"/>
    <w:qFormat/>
    <w:uiPriority w:val="1"/>
    <w:pPr>
      <w:widowControl w:val="0"/>
      <w:jc w:val="both"/>
    </w:pPr>
    <w:rPr>
      <w:rFonts w:ascii="Calibri" w:hAnsi="Calibri" w:eastAsia="宋体" w:cs="Times New Roman"/>
      <w:kern w:val="2"/>
      <w:sz w:val="21"/>
      <w:szCs w:val="22"/>
      <w:lang w:val="en-US" w:eastAsia="zh-CN" w:bidi="ar-SA"/>
    </w:rPr>
  </w:style>
  <w:style w:type="paragraph" w:customStyle="1" w:styleId="87">
    <w:name w:val="TOC 标题1"/>
    <w:basedOn w:val="3"/>
    <w:next w:val="1"/>
    <w:unhideWhenUsed/>
    <w:qFormat/>
    <w:uiPriority w:val="39"/>
    <w:pPr>
      <w:widowControl/>
      <w:numPr>
        <w:numId w:val="0"/>
      </w:numPr>
      <w:spacing w:before="480" w:line="276" w:lineRule="auto"/>
      <w:jc w:val="left"/>
      <w:outlineLvl w:val="9"/>
    </w:pPr>
    <w:rPr>
      <w:rFonts w:ascii="Cambria" w:hAnsi="Cambria" w:eastAsia="宋体" w:cs="Times New Roman"/>
      <w:b/>
      <w:color w:val="366091"/>
      <w:kern w:val="0"/>
      <w:sz w:val="28"/>
      <w:szCs w:val="28"/>
    </w:rPr>
  </w:style>
  <w:style w:type="paragraph" w:customStyle="1" w:styleId="88">
    <w:name w:val="TOC 标题2"/>
    <w:basedOn w:val="3"/>
    <w:next w:val="1"/>
    <w:unhideWhenUsed/>
    <w:qFormat/>
    <w:uiPriority w:val="39"/>
    <w:pPr>
      <w:widowControl/>
      <w:numPr>
        <w:numId w:val="0"/>
      </w:numPr>
      <w:spacing w:before="480" w:line="276" w:lineRule="auto"/>
      <w:jc w:val="left"/>
      <w:outlineLvl w:val="9"/>
    </w:pPr>
    <w:rPr>
      <w:rFonts w:ascii="Cambria" w:hAnsi="Cambria" w:eastAsia="宋体" w:cs="Times New Roman"/>
      <w:b/>
      <w:color w:val="366091"/>
      <w:kern w:val="0"/>
      <w:sz w:val="28"/>
      <w:szCs w:val="28"/>
    </w:rPr>
  </w:style>
  <w:style w:type="paragraph" w:customStyle="1" w:styleId="89">
    <w:name w:val="列出段落3"/>
    <w:basedOn w:val="1"/>
    <w:qFormat/>
    <w:uiPriority w:val="34"/>
    <w:pPr>
      <w:ind w:firstLine="420" w:firstLineChars="200"/>
    </w:pPr>
    <w:rPr>
      <w:rFonts w:ascii="Calibri" w:hAnsi="Calibri" w:eastAsia="宋体" w:cs="Times New Roman"/>
    </w:rPr>
  </w:style>
  <w:style w:type="character" w:customStyle="1" w:styleId="90">
    <w:name w:val="Unresolved Mention"/>
    <w:basedOn w:val="34"/>
    <w:semiHidden/>
    <w:unhideWhenUsed/>
    <w:qFormat/>
    <w:uiPriority w:val="99"/>
    <w:rPr>
      <w:color w:val="605E5C"/>
      <w:shd w:val="clear" w:color="auto" w:fill="E1DFDD"/>
    </w:rPr>
  </w:style>
  <w:style w:type="character" w:customStyle="1" w:styleId="91">
    <w:name w:val="正文文本 字符"/>
    <w:basedOn w:val="34"/>
    <w:link w:val="16"/>
    <w:semiHidden/>
    <w:qFormat/>
    <w:uiPriority w:val="99"/>
    <w:rPr>
      <w:rFonts w:ascii="Times New Roman" w:hAnsi="Times New Roman" w:eastAsia="宋体" w:cs="Times New Roman"/>
      <w:sz w:val="28"/>
      <w:szCs w:val="24"/>
    </w:rPr>
  </w:style>
  <w:style w:type="paragraph" w:customStyle="1" w:styleId="92">
    <w:name w:val="Plain Text1"/>
    <w:basedOn w:val="1"/>
    <w:qFormat/>
    <w:uiPriority w:val="0"/>
    <w:pPr>
      <w:overflowPunct w:val="0"/>
      <w:autoSpaceDE w:val="0"/>
      <w:autoSpaceDN w:val="0"/>
      <w:adjustRightInd w:val="0"/>
      <w:textAlignment w:val="baseline"/>
    </w:pPr>
    <w:rPr>
      <w:rFonts w:ascii="宋体" w:hAnsi="Times New Roman" w:eastAsia="宋体" w:cs="Times New Roman"/>
      <w:kern w:val="0"/>
      <w:szCs w:val="20"/>
    </w:rPr>
  </w:style>
  <w:style w:type="paragraph" w:customStyle="1" w:styleId="93">
    <w:name w:val="Body Text Indent 31"/>
    <w:basedOn w:val="1"/>
    <w:qFormat/>
    <w:uiPriority w:val="0"/>
    <w:pPr>
      <w:widowControl/>
      <w:overflowPunct w:val="0"/>
      <w:autoSpaceDE w:val="0"/>
      <w:autoSpaceDN w:val="0"/>
      <w:adjustRightInd w:val="0"/>
      <w:ind w:left="283" w:firstLine="566"/>
      <w:jc w:val="left"/>
      <w:textAlignment w:val="baseline"/>
    </w:pPr>
    <w:rPr>
      <w:rFonts w:ascii="Times New Roman" w:hAnsi="Times New Roman" w:eastAsia="宋体" w:cs="Times New Roman"/>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D55823-F4C3-4100-88CA-9B8F5B8953D0}">
  <ds:schemaRefs/>
</ds:datastoreItem>
</file>

<file path=docProps/app.xml><?xml version="1.0" encoding="utf-8"?>
<Properties xmlns="http://schemas.openxmlformats.org/officeDocument/2006/extended-properties" xmlns:vt="http://schemas.openxmlformats.org/officeDocument/2006/docPropsVTypes">
  <Template>Normal</Template>
  <Manager>焦志凡18120497720</Manager>
  <Company>湖北恒越商务服务有限公司</Company>
  <Pages>55</Pages>
  <Words>4894</Words>
  <Characters>27902</Characters>
  <Lines>232</Lines>
  <Paragraphs>65</Paragraphs>
  <TotalTime>11</TotalTime>
  <ScaleCrop>false</ScaleCrop>
  <LinksUpToDate>false</LinksUpToDate>
  <CharactersWithSpaces>32731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2016-01-14T09:34:00Z</dcterms:created>
  <dc:creator>Administrator</dc:creator>
  <cp:lastModifiedBy>Administrator</cp:lastModifiedBy>
  <dcterms:modified xsi:type="dcterms:W3CDTF">2021-09-01T01:21:27Z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DEDC9F7775164F0E8A5767F9B4C7BF03</vt:lpwstr>
  </property>
</Properties>
</file>