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sz w:val="24"/>
          <w:szCs w:val="24"/>
        </w:rPr>
      </w:pPr>
    </w:p>
    <w:p>
      <w:pPr>
        <w:spacing w:line="360" w:lineRule="auto"/>
        <w:jc w:val="left"/>
        <w:rPr>
          <w:sz w:val="24"/>
          <w:szCs w:val="24"/>
        </w:rPr>
      </w:pPr>
      <w:r>
        <w:rPr>
          <w:rFonts w:hint="eastAsia"/>
          <w:sz w:val="24"/>
          <w:szCs w:val="24"/>
        </w:rPr>
        <w:t>附件：</w:t>
      </w:r>
    </w:p>
    <w:p>
      <w:pPr>
        <w:spacing w:line="360" w:lineRule="auto"/>
        <w:jc w:val="center"/>
        <w:rPr>
          <w:rFonts w:hint="eastAsia"/>
          <w:sz w:val="32"/>
          <w:szCs w:val="32"/>
          <w:lang w:val="en-US" w:eastAsia="zh-CN"/>
        </w:rPr>
      </w:pPr>
      <w:r>
        <w:rPr>
          <w:rFonts w:hint="eastAsia"/>
          <w:sz w:val="32"/>
          <w:szCs w:val="32"/>
          <w:lang w:eastAsia="zh-CN"/>
        </w:rPr>
        <w:t>韦源口镇竹溪洲村湖堤路水毁修复工程项目</w:t>
      </w:r>
      <w:r>
        <w:rPr>
          <w:rFonts w:hint="eastAsia"/>
          <w:sz w:val="32"/>
          <w:szCs w:val="32"/>
        </w:rPr>
        <w:t>采购需求</w:t>
      </w:r>
      <w:r>
        <w:rPr>
          <w:rFonts w:hint="eastAsia"/>
          <w:sz w:val="32"/>
          <w:szCs w:val="32"/>
          <w:lang w:val="en-US" w:eastAsia="zh-CN"/>
        </w:rPr>
        <w:t>及供应商报名表</w:t>
      </w:r>
    </w:p>
    <w:p>
      <w:pPr>
        <w:keepNext/>
        <w:keepLines/>
        <w:numPr>
          <w:ilvl w:val="0"/>
          <w:numId w:val="2"/>
        </w:numPr>
        <w:tabs>
          <w:tab w:val="left" w:pos="1260"/>
        </w:tabs>
        <w:spacing w:line="360" w:lineRule="auto"/>
        <w:ind w:left="1260" w:leftChars="0" w:hanging="1260" w:firstLineChars="0"/>
        <w:outlineLvl w:val="2"/>
        <w:rPr>
          <w:rFonts w:ascii="Calibri" w:hAnsi="Calibri" w:eastAsia="宋体" w:cs="Times New Roman"/>
          <w:b/>
          <w:bCs/>
          <w:sz w:val="32"/>
          <w:szCs w:val="32"/>
        </w:rPr>
      </w:pPr>
      <w:r>
        <w:rPr>
          <w:rFonts w:hint="eastAsia" w:ascii="Calibri" w:hAnsi="Calibri" w:eastAsia="宋体" w:cs="Times New Roman"/>
          <w:b/>
          <w:bCs/>
          <w:sz w:val="28"/>
          <w:szCs w:val="28"/>
        </w:rPr>
        <w:t>工程技术要求</w:t>
      </w:r>
    </w:p>
    <w:p>
      <w:pPr>
        <w:pStyle w:val="26"/>
        <w:numPr>
          <w:ilvl w:val="0"/>
          <w:numId w:val="3"/>
        </w:numPr>
        <w:tabs>
          <w:tab w:val="left" w:pos="840"/>
        </w:tabs>
        <w:spacing w:line="500" w:lineRule="exact"/>
        <w:ind w:left="840" w:leftChars="0" w:hanging="840" w:firstLineChars="0"/>
        <w:rPr>
          <w:rFonts w:asciiTheme="minorEastAsia" w:hAnsiTheme="minorEastAsia" w:cstheme="minorEastAsia"/>
          <w:color w:val="000000"/>
          <w:szCs w:val="24"/>
          <w:lang w:val="zh-CN"/>
        </w:rPr>
      </w:pPr>
      <w:r>
        <w:rPr>
          <w:rFonts w:hint="eastAsia" w:asciiTheme="minorEastAsia" w:hAnsiTheme="minorEastAsia" w:cstheme="minorEastAsia"/>
          <w:color w:val="000000"/>
          <w:szCs w:val="24"/>
          <w:lang w:val="zh-CN"/>
        </w:rPr>
        <w:t>依据设计施工图纸和技术文件要求，本工程项目的材料、设备、施工必须达到现行中华人民共和国及省、市、行业的一切有关法规、规范的要求，如各标准及规范要求有出入则以较严格者为准；</w:t>
      </w:r>
    </w:p>
    <w:p>
      <w:pPr>
        <w:pStyle w:val="26"/>
        <w:numPr>
          <w:ilvl w:val="0"/>
          <w:numId w:val="3"/>
        </w:numPr>
        <w:tabs>
          <w:tab w:val="left" w:pos="840"/>
        </w:tabs>
        <w:spacing w:line="500" w:lineRule="exact"/>
        <w:ind w:left="840" w:leftChars="0" w:hanging="840" w:firstLineChars="0"/>
        <w:rPr>
          <w:rFonts w:hint="eastAsia" w:eastAsia="宋体" w:asciiTheme="minorEastAsia" w:hAnsiTheme="minorEastAsia" w:cstheme="minorEastAsia"/>
          <w:color w:val="000000"/>
          <w:szCs w:val="24"/>
          <w:lang w:val="zh-CN"/>
        </w:rPr>
      </w:pPr>
      <w:r>
        <w:rPr>
          <w:rFonts w:hint="eastAsia" w:eastAsia="宋体" w:asciiTheme="minorEastAsia" w:hAnsiTheme="minorEastAsia" w:cstheme="minorEastAsia"/>
          <w:color w:val="000000"/>
          <w:szCs w:val="24"/>
          <w:lang w:val="zh-CN"/>
        </w:rPr>
        <w:t>执行国家、省、市现行的建设工程施工及工程质量验收规范、施工技术标准、程序，建设工程施工操作规程、“建设工程质量管理条例”、“工程建设强制性标准”、“工程建设标准强制性条文”、“建筑工程安全生产管理条例”、“建筑施工安全检查标准”以及有关建筑质量、安全施工、建筑材料及半成品备案证制度等有关文件、规定、施工图纸、技术交底、地质勘察等有关技术说明和“建筑工程质量检验评定标准”、“建筑安装工程质量检验评定统一标准”等。</w:t>
      </w:r>
    </w:p>
    <w:p>
      <w:pPr>
        <w:pStyle w:val="28"/>
        <w:numPr>
          <w:ilvl w:val="0"/>
          <w:numId w:val="0"/>
        </w:numPr>
        <w:ind w:leftChars="0"/>
        <w:rPr>
          <w:rFonts w:hint="eastAsia" w:ascii="宋体" w:hAnsi="宋体" w:eastAsia="宋体" w:cs="宋体"/>
          <w:sz w:val="21"/>
          <w:szCs w:val="21"/>
          <w:highlight w:val="none"/>
          <w:lang w:val="en-US" w:eastAsia="zh-CN"/>
        </w:rPr>
      </w:pPr>
    </w:p>
    <w:p>
      <w:pPr>
        <w:pStyle w:val="15"/>
        <w:ind w:left="0" w:leftChars="0" w:firstLine="0" w:firstLineChars="0"/>
        <w:rPr>
          <w:rFonts w:hint="eastAsia" w:ascii="宋体" w:hAnsi="宋体" w:eastAsia="宋体" w:cs="宋体"/>
          <w:kern w:val="2"/>
          <w:sz w:val="28"/>
          <w:szCs w:val="28"/>
          <w:lang w:val="en-US" w:eastAsia="zh-CN" w:bidi="ar-SA"/>
        </w:rPr>
      </w:pPr>
    </w:p>
    <w:p>
      <w:pPr>
        <w:keepNext/>
        <w:keepLines/>
        <w:numPr>
          <w:ilvl w:val="0"/>
          <w:numId w:val="2"/>
        </w:numPr>
        <w:tabs>
          <w:tab w:val="left" w:pos="1260"/>
        </w:tabs>
        <w:spacing w:line="360" w:lineRule="auto"/>
        <w:ind w:left="1260" w:leftChars="0" w:hanging="1260" w:firstLineChars="0"/>
        <w:outlineLvl w:val="2"/>
        <w:rPr>
          <w:rFonts w:hint="eastAsia" w:ascii="Calibri" w:hAnsi="Calibri" w:eastAsia="宋体" w:cs="Times New Roman"/>
          <w:b/>
          <w:bCs/>
          <w:sz w:val="28"/>
          <w:szCs w:val="28"/>
        </w:rPr>
      </w:pPr>
      <w:r>
        <w:rPr>
          <w:rFonts w:hint="eastAsia" w:ascii="Calibri" w:hAnsi="Calibri" w:eastAsia="宋体" w:cs="Times New Roman"/>
          <w:b/>
          <w:bCs/>
          <w:sz w:val="28"/>
          <w:szCs w:val="28"/>
        </w:rPr>
        <w:t>商务要求</w:t>
      </w:r>
    </w:p>
    <w:p>
      <w:pPr>
        <w:pStyle w:val="26"/>
        <w:numPr>
          <w:ilvl w:val="1"/>
          <w:numId w:val="2"/>
        </w:numPr>
        <w:tabs>
          <w:tab w:val="left" w:pos="840"/>
        </w:tabs>
        <w:spacing w:line="500" w:lineRule="exact"/>
        <w:ind w:left="840" w:leftChars="0" w:hanging="840" w:firstLineChars="0"/>
        <w:rPr>
          <w:rFonts w:hint="eastAsia" w:eastAsia="宋体" w:asciiTheme="minorEastAsia" w:hAnsiTheme="minorEastAsia" w:cstheme="minorEastAsia"/>
          <w:color w:val="000000"/>
          <w:szCs w:val="24"/>
          <w:lang w:val="zh-CN"/>
        </w:rPr>
      </w:pPr>
      <w:r>
        <w:rPr>
          <w:rFonts w:hint="eastAsia" w:eastAsia="宋体" w:asciiTheme="minorEastAsia" w:hAnsiTheme="minorEastAsia" w:cstheme="minorEastAsia"/>
          <w:color w:val="000000"/>
          <w:szCs w:val="24"/>
          <w:lang w:val="en-US" w:eastAsia="zh-CN"/>
        </w:rPr>
        <w:t xml:space="preserve">    </w:t>
      </w:r>
      <w:r>
        <w:rPr>
          <w:rFonts w:hint="eastAsia" w:eastAsia="宋体" w:asciiTheme="minorEastAsia" w:hAnsiTheme="minorEastAsia" w:cstheme="minorEastAsia"/>
          <w:color w:val="000000"/>
          <w:szCs w:val="24"/>
          <w:lang w:val="zh-CN"/>
        </w:rPr>
        <w:t>工期：</w:t>
      </w:r>
      <w:r>
        <w:rPr>
          <w:rFonts w:hint="eastAsia" w:eastAsia="宋体" w:asciiTheme="minorEastAsia" w:hAnsiTheme="minorEastAsia" w:cstheme="minorEastAsia"/>
          <w:color w:val="000000"/>
          <w:szCs w:val="24"/>
          <w:lang w:val="en-US" w:eastAsia="zh-CN"/>
        </w:rPr>
        <w:t>3个月。</w:t>
      </w:r>
    </w:p>
    <w:p>
      <w:pPr>
        <w:pStyle w:val="26"/>
        <w:numPr>
          <w:ilvl w:val="1"/>
          <w:numId w:val="2"/>
        </w:numPr>
        <w:tabs>
          <w:tab w:val="left" w:pos="840"/>
        </w:tabs>
        <w:spacing w:line="500" w:lineRule="exact"/>
        <w:ind w:left="420" w:leftChars="0" w:hanging="420" w:firstLineChars="0"/>
        <w:rPr>
          <w:rFonts w:hint="eastAsia" w:eastAsia="宋体" w:asciiTheme="minorEastAsia" w:hAnsiTheme="minorEastAsia" w:cstheme="minorEastAsia"/>
          <w:color w:val="000000"/>
          <w:szCs w:val="24"/>
          <w:lang w:val="en-US" w:eastAsia="zh-CN"/>
        </w:rPr>
      </w:pPr>
      <w:r>
        <w:rPr>
          <w:rFonts w:hint="eastAsia" w:eastAsia="宋体" w:asciiTheme="minorEastAsia" w:hAnsiTheme="minorEastAsia" w:cstheme="minorEastAsia"/>
          <w:color w:val="000000"/>
          <w:szCs w:val="24"/>
          <w:lang w:val="en-US" w:eastAsia="zh-CN"/>
        </w:rPr>
        <w:t xml:space="preserve">    质量保修期：本项目保修期为1年，质量保修期自竣工验收合格之日起计算。</w:t>
      </w:r>
    </w:p>
    <w:p>
      <w:pPr>
        <w:pStyle w:val="26"/>
        <w:numPr>
          <w:ilvl w:val="1"/>
          <w:numId w:val="2"/>
        </w:numPr>
        <w:tabs>
          <w:tab w:val="left" w:pos="840"/>
        </w:tabs>
        <w:spacing w:line="500" w:lineRule="exact"/>
        <w:ind w:left="840" w:leftChars="0" w:hanging="840" w:firstLineChars="0"/>
        <w:rPr>
          <w:rFonts w:hint="eastAsia" w:eastAsia="宋体" w:asciiTheme="minorEastAsia" w:hAnsiTheme="minorEastAsia" w:cstheme="minorEastAsia"/>
          <w:color w:val="000000"/>
          <w:szCs w:val="24"/>
          <w:lang w:val="en-US" w:eastAsia="zh-CN"/>
        </w:rPr>
      </w:pPr>
      <w:r>
        <w:rPr>
          <w:rFonts w:hint="eastAsia" w:eastAsia="宋体" w:asciiTheme="minorEastAsia" w:hAnsiTheme="minorEastAsia" w:cstheme="minorEastAsia"/>
          <w:color w:val="000000"/>
          <w:szCs w:val="24"/>
          <w:lang w:val="en-US" w:eastAsia="zh-CN"/>
        </w:rPr>
        <w:t xml:space="preserve">    付款方式：工程竣工验收后，甲方根据政府到账资金数额进行拨付，余款2%作为工程质量保证金，一年后一次性付清。 </w:t>
      </w:r>
    </w:p>
    <w:p>
      <w:pPr>
        <w:pStyle w:val="26"/>
        <w:numPr>
          <w:ilvl w:val="1"/>
          <w:numId w:val="2"/>
        </w:numPr>
        <w:tabs>
          <w:tab w:val="left" w:pos="840"/>
        </w:tabs>
        <w:spacing w:line="500" w:lineRule="exact"/>
        <w:ind w:left="840" w:leftChars="0" w:hanging="840" w:firstLineChars="0"/>
        <w:rPr>
          <w:rFonts w:hint="eastAsia" w:eastAsia="宋体" w:asciiTheme="minorEastAsia" w:hAnsiTheme="minorEastAsia" w:cstheme="minorEastAsia"/>
          <w:color w:val="000000"/>
          <w:szCs w:val="24"/>
          <w:lang w:val="en-US" w:eastAsia="zh-CN"/>
        </w:rPr>
      </w:pPr>
      <w:r>
        <w:rPr>
          <w:rFonts w:hint="eastAsia" w:eastAsia="宋体" w:asciiTheme="minorEastAsia" w:hAnsiTheme="minorEastAsia" w:cstheme="minorEastAsia"/>
          <w:color w:val="000000"/>
          <w:szCs w:val="24"/>
          <w:lang w:val="en-US" w:eastAsia="zh-CN"/>
        </w:rPr>
        <w:t xml:space="preserve">    采购预算：129.94368万元。（超出采购预算金额将导致其报价无效）</w:t>
      </w:r>
    </w:p>
    <w:p>
      <w:pPr>
        <w:pStyle w:val="26"/>
        <w:numPr>
          <w:ilvl w:val="0"/>
          <w:numId w:val="0"/>
        </w:numPr>
        <w:tabs>
          <w:tab w:val="left" w:pos="1260"/>
        </w:tabs>
        <w:spacing w:line="500" w:lineRule="exact"/>
        <w:ind w:leftChars="0"/>
        <w:rPr>
          <w:rFonts w:ascii="Times New Roman" w:hAnsi="Times New Roman"/>
          <w:color w:val="000000"/>
          <w:sz w:val="21"/>
          <w:szCs w:val="21"/>
          <w:highlight w:val="none"/>
        </w:rPr>
      </w:pPr>
    </w:p>
    <w:p>
      <w:pPr>
        <w:keepNext/>
        <w:keepLines/>
        <w:numPr>
          <w:ilvl w:val="0"/>
          <w:numId w:val="2"/>
        </w:numPr>
        <w:tabs>
          <w:tab w:val="left" w:pos="1260"/>
        </w:tabs>
        <w:spacing w:line="360" w:lineRule="auto"/>
        <w:ind w:left="1260" w:leftChars="0" w:hanging="1260" w:firstLineChars="0"/>
        <w:outlineLvl w:val="2"/>
        <w:rPr>
          <w:rFonts w:hint="eastAsia" w:ascii="Calibri" w:hAnsi="Calibri" w:eastAsia="宋体" w:cs="Times New Roman"/>
          <w:b/>
          <w:bCs/>
          <w:sz w:val="28"/>
          <w:szCs w:val="28"/>
          <w:lang w:eastAsia="zh-CN"/>
        </w:rPr>
      </w:pPr>
      <w:r>
        <w:rPr>
          <w:rFonts w:hint="eastAsia" w:ascii="Calibri" w:hAnsi="Calibri" w:eastAsia="宋体" w:cs="Times New Roman"/>
          <w:b/>
          <w:bCs/>
          <w:sz w:val="28"/>
          <w:szCs w:val="28"/>
          <w:lang w:eastAsia="zh-CN"/>
        </w:rPr>
        <w:t>工程量清单</w:t>
      </w:r>
    </w:p>
    <w:p>
      <w:pPr>
        <w:pStyle w:val="2"/>
        <w:numPr>
          <w:ilvl w:val="1"/>
          <w:numId w:val="0"/>
        </w:numPr>
        <w:ind w:leftChars="0"/>
        <w:rPr>
          <w:rFonts w:hint="eastAsia"/>
          <w:lang w:val="en-US" w:eastAsia="zh-CN"/>
        </w:rPr>
      </w:pPr>
      <w:r>
        <w:rPr>
          <w:rFonts w:hint="eastAsia"/>
          <w:lang w:val="en-US" w:eastAsia="zh-CN"/>
        </w:rPr>
        <w:t xml:space="preserve">                               </w:t>
      </w:r>
      <w:r>
        <w:rPr>
          <w:rFonts w:hint="eastAsia"/>
          <w:lang w:val="en-US" w:eastAsia="zh-CN"/>
        </w:rPr>
        <w:object>
          <v:shape id="_x0000_i1025" o:spt="75" type="#_x0000_t75" style="height:66pt;width:72.75pt;" o:ole="t" filled="f" o:preferrelative="t" stroked="f" coordsize="21600,21600">
            <v:path/>
            <v:fill on="f" focussize="0,0"/>
            <v:stroke on="f"/>
            <v:imagedata r:id="rId6" o:title=""/>
            <o:lock v:ext="edit" aspectratio="t"/>
            <w10:wrap type="none"/>
            <w10:anchorlock/>
          </v:shape>
          <o:OLEObject Type="Embed" ProgID="Office12.Excel.Template" ShapeID="_x0000_i1025" DrawAspect="Icon" ObjectID="_1468075725" r:id="rId5">
            <o:LockedField>false</o:LockedField>
          </o:OLEObject>
        </w:object>
      </w:r>
    </w:p>
    <w:p>
      <w:pPr>
        <w:rPr>
          <w:rFonts w:hint="eastAsia"/>
          <w:lang w:val="en-US" w:eastAsia="zh-CN"/>
        </w:rPr>
      </w:pPr>
    </w:p>
    <w:p>
      <w:pPr>
        <w:pStyle w:val="20"/>
        <w:rPr>
          <w:rFonts w:hint="eastAsia"/>
          <w:lang w:val="en-US" w:eastAsia="zh-CN"/>
        </w:rPr>
      </w:pPr>
    </w:p>
    <w:p>
      <w:pPr>
        <w:rPr>
          <w:rFonts w:hint="eastAsia"/>
          <w:lang w:val="en-US" w:eastAsia="zh-CN"/>
        </w:rPr>
      </w:pPr>
    </w:p>
    <w:p>
      <w:pPr>
        <w:numPr>
          <w:ilvl w:val="0"/>
          <w:numId w:val="4"/>
        </w:numPr>
        <w:spacing w:line="500" w:lineRule="exact"/>
        <w:ind w:left="1265" w:leftChars="0" w:hanging="1265" w:hangingChars="450"/>
        <w:rPr>
          <w:rFonts w:hint="default" w:ascii="Times New Roman" w:hAnsi="Times New Roman" w:eastAsia="宋体" w:cs="Times New Roman"/>
          <w:b/>
          <w:color w:val="000000"/>
          <w:sz w:val="28"/>
          <w:szCs w:val="28"/>
          <w:lang w:val="en-US" w:eastAsia="zh-CN"/>
        </w:rPr>
      </w:pPr>
      <w:r>
        <w:rPr>
          <w:rFonts w:hint="eastAsia" w:ascii="Times New Roman" w:hAnsi="Times New Roman" w:eastAsia="宋体" w:cs="Times New Roman"/>
          <w:b/>
          <w:color w:val="000000"/>
          <w:sz w:val="28"/>
          <w:szCs w:val="28"/>
          <w:lang w:val="en-US" w:eastAsia="zh-CN"/>
        </w:rPr>
        <w:t>图纸</w:t>
      </w:r>
    </w:p>
    <w:p>
      <w:pPr>
        <w:pStyle w:val="6"/>
        <w:spacing w:line="240" w:lineRule="auto"/>
        <w:rPr>
          <w:rFonts w:hint="eastAsia" w:ascii="Times New Roman" w:hAnsi="Times New Roman" w:eastAsia="宋体" w:cs="Times New Roman"/>
          <w:b w:val="0"/>
          <w:bCs/>
          <w:color w:val="000000"/>
          <w:kern w:val="2"/>
          <w:sz w:val="21"/>
          <w:szCs w:val="21"/>
          <w:highlight w:val="none"/>
          <w:lang w:val="en-US" w:eastAsia="zh-CN" w:bidi="ar-SA"/>
        </w:rPr>
      </w:pPr>
      <w:r>
        <w:rPr>
          <w:rFonts w:hint="eastAsia" w:ascii="Times New Roman" w:hAnsi="Times New Roman" w:cs="Times New Roman"/>
          <w:b/>
          <w:sz w:val="36"/>
          <w:szCs w:val="36"/>
          <w:lang w:val="en-US" w:eastAsia="zh-CN"/>
        </w:rPr>
        <w:t xml:space="preserve">     </w:t>
      </w:r>
      <w:r>
        <w:rPr>
          <w:rFonts w:hint="eastAsia" w:ascii="Cambria" w:hAnsi="Cambria" w:eastAsia="宋体" w:cs="黑体"/>
          <w:b/>
          <w:bCs/>
          <w:kern w:val="2"/>
          <w:sz w:val="21"/>
          <w:szCs w:val="32"/>
          <w:lang w:val="en-US" w:eastAsia="zh-CN" w:bidi="ar-SA"/>
        </w:rPr>
        <w:t xml:space="preserve">     </w:t>
      </w:r>
    </w:p>
    <w:p>
      <w:pPr>
        <w:pStyle w:val="6"/>
        <w:spacing w:line="240" w:lineRule="auto"/>
        <w:rPr>
          <w:rFonts w:hint="eastAsia" w:ascii="Times New Roman" w:hAnsi="Times New Roman" w:eastAsia="宋体" w:cs="Times New Roman"/>
          <w:b w:val="0"/>
          <w:bCs/>
          <w:color w:val="000000"/>
          <w:kern w:val="2"/>
          <w:sz w:val="21"/>
          <w:szCs w:val="21"/>
          <w:highlight w:val="none"/>
          <w:lang w:val="en-US" w:eastAsia="zh-CN" w:bidi="ar-SA"/>
        </w:rPr>
      </w:pPr>
    </w:p>
    <w:p>
      <w:pPr>
        <w:adjustRightInd w:val="0"/>
        <w:snapToGrid w:val="0"/>
        <w:spacing w:line="360" w:lineRule="auto"/>
        <w:jc w:val="center"/>
        <w:outlineLvl w:val="0"/>
        <w:rPr>
          <w:rFonts w:ascii="Times New Roman" w:hAnsi="Times New Roman" w:cs="Times New Roman"/>
          <w:b/>
          <w:sz w:val="36"/>
          <w:szCs w:val="36"/>
        </w:rPr>
      </w:pPr>
      <w:r>
        <w:rPr>
          <w:rFonts w:hint="eastAsia" w:ascii="Cambria" w:hAnsi="Cambria" w:eastAsia="宋体" w:cs="黑体"/>
          <w:b/>
          <w:bCs/>
          <w:kern w:val="2"/>
          <w:sz w:val="21"/>
          <w:szCs w:val="32"/>
          <w:lang w:val="en-US" w:eastAsia="zh-CN" w:bidi="ar-SA"/>
        </w:rPr>
        <w:object>
          <v:shape id="_x0000_i1026" o:spt="75" type="#_x0000_t75" style="height:42.75pt;width:219pt;" o:ole="t" filled="f" o:preferrelative="t" stroked="f" coordsize="21600,21600">
            <v:path/>
            <v:fill on="f" focussize="0,0"/>
            <v:stroke on="f"/>
            <v:imagedata r:id="rId8" o:title=""/>
            <o:lock v:ext="edit" aspectratio="t"/>
            <w10:wrap type="none"/>
            <w10:anchorlock/>
          </v:shape>
          <o:OLEObject Type="Embed" ProgID="Package" ShapeID="_x0000_i1026" DrawAspect="Content" ObjectID="_1468075726" r:id="rId7">
            <o:LockedField>false</o:LockedField>
          </o:OLEObject>
        </w:object>
      </w:r>
    </w:p>
    <w:p>
      <w:pPr>
        <w:adjustRightInd w:val="0"/>
        <w:snapToGrid w:val="0"/>
        <w:spacing w:line="360" w:lineRule="auto"/>
        <w:jc w:val="center"/>
        <w:outlineLvl w:val="0"/>
        <w:rPr>
          <w:rFonts w:ascii="Times New Roman" w:hAnsi="Times New Roman" w:cs="Times New Roman"/>
          <w:b/>
          <w:sz w:val="36"/>
          <w:szCs w:val="36"/>
          <w:highlight w:val="none"/>
        </w:rPr>
      </w:pPr>
      <w:r>
        <w:rPr>
          <w:rFonts w:ascii="Times New Roman" w:hAnsi="Times New Roman" w:cs="Times New Roman"/>
          <w:b/>
          <w:sz w:val="36"/>
          <w:szCs w:val="36"/>
        </w:rPr>
        <w:br w:type="page"/>
      </w:r>
      <w:r>
        <w:rPr>
          <w:rFonts w:ascii="Times New Roman" w:hAnsi="Times New Roman" w:cs="Times New Roman"/>
          <w:b/>
          <w:sz w:val="36"/>
          <w:szCs w:val="36"/>
          <w:highlight w:val="none"/>
        </w:rPr>
        <w:t>评审办法及评分标准</w:t>
      </w:r>
    </w:p>
    <w:tbl>
      <w:tblPr>
        <w:tblStyle w:val="16"/>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
        <w:gridCol w:w="1129"/>
        <w:gridCol w:w="697"/>
        <w:gridCol w:w="6008"/>
        <w:gridCol w:w="10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7" w:type="dxa"/>
            <w:vMerge w:val="restart"/>
            <w:shd w:val="pct10" w:color="auto" w:fill="auto"/>
            <w:vAlign w:val="center"/>
          </w:tcPr>
          <w:p>
            <w:pPr>
              <w:spacing w:line="360" w:lineRule="auto"/>
              <w:ind w:left="-78" w:leftChars="-37" w:right="-86" w:rightChars="-41"/>
              <w:jc w:val="center"/>
              <w:rPr>
                <w:rFonts w:ascii="宋体" w:hAnsi="宋体" w:eastAsia="宋体" w:cs="Times New Roman"/>
                <w:b/>
                <w:color w:val="000000" w:themeColor="text1"/>
                <w:sz w:val="24"/>
                <w:szCs w:val="24"/>
              </w:rPr>
            </w:pPr>
            <w:r>
              <w:rPr>
                <w:rFonts w:hint="eastAsia" w:ascii="宋体" w:hAnsi="宋体" w:eastAsia="宋体" w:cs="Times New Roman"/>
                <w:b/>
                <w:bCs/>
                <w:color w:val="000000" w:themeColor="text1"/>
                <w:sz w:val="28"/>
                <w:szCs w:val="28"/>
              </w:rPr>
              <w:t>商务评议</w:t>
            </w:r>
          </w:p>
        </w:tc>
        <w:tc>
          <w:tcPr>
            <w:tcW w:w="1129" w:type="dxa"/>
            <w:shd w:val="pct10" w:color="auto" w:fill="auto"/>
            <w:vAlign w:val="center"/>
          </w:tcPr>
          <w:p>
            <w:pPr>
              <w:spacing w:line="360" w:lineRule="auto"/>
              <w:ind w:left="-78" w:leftChars="-37" w:right="-86" w:rightChars="-41"/>
              <w:jc w:val="center"/>
              <w:rPr>
                <w:rFonts w:hint="eastAsia" w:ascii="宋体" w:hAnsi="宋体" w:eastAsia="宋体" w:cs="Times New Roman"/>
                <w:b/>
                <w:color w:val="000000" w:themeColor="text1"/>
                <w:sz w:val="24"/>
                <w:szCs w:val="24"/>
                <w:highlight w:val="none"/>
              </w:rPr>
            </w:pPr>
            <w:r>
              <w:rPr>
                <w:rFonts w:hint="eastAsia" w:ascii="宋体" w:hAnsi="宋体" w:eastAsia="宋体" w:cs="Times New Roman"/>
                <w:b/>
                <w:color w:val="000000" w:themeColor="text1"/>
                <w:sz w:val="24"/>
                <w:szCs w:val="24"/>
                <w:highlight w:val="none"/>
              </w:rPr>
              <w:t>评审</w:t>
            </w:r>
          </w:p>
          <w:p>
            <w:pPr>
              <w:spacing w:line="360" w:lineRule="auto"/>
              <w:ind w:left="-78" w:leftChars="-37" w:right="-86" w:rightChars="-41"/>
              <w:jc w:val="center"/>
              <w:rPr>
                <w:rFonts w:ascii="宋体" w:hAnsi="宋体" w:eastAsia="宋体" w:cs="Times New Roman"/>
                <w:b/>
                <w:color w:val="000000" w:themeColor="text1"/>
                <w:sz w:val="24"/>
                <w:szCs w:val="24"/>
              </w:rPr>
            </w:pPr>
            <w:r>
              <w:rPr>
                <w:rFonts w:hint="eastAsia" w:ascii="宋体" w:hAnsi="宋体" w:eastAsia="宋体" w:cs="Times New Roman"/>
                <w:b/>
                <w:color w:val="000000" w:themeColor="text1"/>
                <w:sz w:val="24"/>
                <w:szCs w:val="24"/>
                <w:highlight w:val="none"/>
              </w:rPr>
              <w:t>因素</w:t>
            </w:r>
          </w:p>
        </w:tc>
        <w:tc>
          <w:tcPr>
            <w:tcW w:w="697" w:type="dxa"/>
            <w:shd w:val="pct10" w:color="auto" w:fill="auto"/>
            <w:vAlign w:val="center"/>
          </w:tcPr>
          <w:p>
            <w:pPr>
              <w:spacing w:line="360" w:lineRule="auto"/>
              <w:ind w:left="-73" w:leftChars="-35" w:right="-80" w:rightChars="-38"/>
              <w:jc w:val="center"/>
              <w:rPr>
                <w:rFonts w:ascii="宋体" w:hAnsi="宋体" w:eastAsia="宋体" w:cs="Times New Roman"/>
                <w:b/>
                <w:color w:val="000000" w:themeColor="text1"/>
                <w:sz w:val="24"/>
                <w:szCs w:val="24"/>
              </w:rPr>
            </w:pPr>
            <w:r>
              <w:rPr>
                <w:rFonts w:hint="eastAsia" w:ascii="宋体" w:hAnsi="宋体" w:eastAsia="宋体" w:cs="Times New Roman"/>
                <w:b/>
                <w:color w:val="000000" w:themeColor="text1"/>
                <w:sz w:val="24"/>
                <w:szCs w:val="24"/>
              </w:rPr>
              <w:t>分值</w:t>
            </w:r>
          </w:p>
        </w:tc>
        <w:tc>
          <w:tcPr>
            <w:tcW w:w="6008" w:type="dxa"/>
            <w:shd w:val="pct10" w:color="auto" w:fill="auto"/>
            <w:vAlign w:val="center"/>
          </w:tcPr>
          <w:p>
            <w:pPr>
              <w:spacing w:line="360" w:lineRule="auto"/>
              <w:jc w:val="center"/>
              <w:rPr>
                <w:rFonts w:ascii="宋体" w:hAnsi="宋体" w:eastAsia="宋体" w:cs="Times New Roman"/>
                <w:b/>
                <w:color w:val="000000" w:themeColor="text1"/>
                <w:sz w:val="24"/>
                <w:szCs w:val="24"/>
              </w:rPr>
            </w:pPr>
            <w:r>
              <w:rPr>
                <w:rFonts w:hint="eastAsia" w:ascii="宋体" w:hAnsi="宋体" w:eastAsia="宋体" w:cs="Times New Roman"/>
                <w:b/>
                <w:color w:val="000000" w:themeColor="text1"/>
                <w:sz w:val="24"/>
                <w:szCs w:val="24"/>
              </w:rPr>
              <w:t>评分标准</w:t>
            </w:r>
          </w:p>
        </w:tc>
        <w:tc>
          <w:tcPr>
            <w:tcW w:w="1021" w:type="dxa"/>
            <w:shd w:val="pct10" w:color="auto" w:fill="auto"/>
            <w:vAlign w:val="center"/>
          </w:tcPr>
          <w:p>
            <w:pPr>
              <w:spacing w:line="360" w:lineRule="auto"/>
              <w:jc w:val="center"/>
              <w:rPr>
                <w:rFonts w:ascii="宋体" w:hAnsi="宋体" w:eastAsia="宋体" w:cs="Times New Roman"/>
                <w:b/>
                <w:color w:val="000000" w:themeColor="text1"/>
                <w:sz w:val="24"/>
                <w:szCs w:val="24"/>
              </w:rPr>
            </w:pPr>
            <w:r>
              <w:rPr>
                <w:rFonts w:hint="eastAsia" w:ascii="宋体" w:hAnsi="宋体" w:eastAsia="宋体" w:cs="Times New Roman"/>
                <w:b/>
                <w:color w:val="000000" w:themeColor="text1"/>
                <w:sz w:val="24"/>
                <w:szCs w:val="24"/>
              </w:rPr>
              <w:t>因素</w:t>
            </w:r>
          </w:p>
          <w:p>
            <w:pPr>
              <w:spacing w:line="360" w:lineRule="auto"/>
              <w:jc w:val="center"/>
              <w:rPr>
                <w:rFonts w:ascii="宋体" w:hAnsi="宋体" w:eastAsia="宋体" w:cs="Times New Roman"/>
                <w:b/>
                <w:color w:val="000000" w:themeColor="text1"/>
                <w:sz w:val="24"/>
                <w:szCs w:val="24"/>
              </w:rPr>
            </w:pPr>
            <w:r>
              <w:rPr>
                <w:rFonts w:hint="eastAsia" w:ascii="宋体" w:hAnsi="宋体" w:eastAsia="宋体" w:cs="Times New Roman"/>
                <w:b/>
                <w:color w:val="000000" w:themeColor="text1"/>
                <w:sz w:val="24"/>
                <w:szCs w:val="24"/>
              </w:rPr>
              <w:t>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jc w:val="center"/>
        </w:trPr>
        <w:tc>
          <w:tcPr>
            <w:tcW w:w="727" w:type="dxa"/>
            <w:vMerge w:val="continue"/>
            <w:vAlign w:val="center"/>
          </w:tcPr>
          <w:p>
            <w:pPr>
              <w:numPr>
                <w:ilvl w:val="0"/>
                <w:numId w:val="5"/>
              </w:numPr>
              <w:tabs>
                <w:tab w:val="left" w:pos="322"/>
              </w:tabs>
              <w:spacing w:line="360" w:lineRule="auto"/>
              <w:ind w:left="-42" w:right="-42" w:rightChars="-20" w:firstLine="0"/>
              <w:jc w:val="right"/>
              <w:rPr>
                <w:rFonts w:ascii="宋体" w:hAnsi="宋体" w:eastAsia="宋体" w:cs="Times New Roman"/>
                <w:b/>
                <w:color w:val="000000" w:themeColor="text1"/>
                <w:sz w:val="24"/>
              </w:rPr>
            </w:pPr>
          </w:p>
        </w:tc>
        <w:tc>
          <w:tcPr>
            <w:tcW w:w="1129" w:type="dxa"/>
            <w:vAlign w:val="center"/>
          </w:tcPr>
          <w:p>
            <w:pPr>
              <w:spacing w:line="300" w:lineRule="auto"/>
              <w:ind w:left="-105" w:leftChars="-50" w:right="-105" w:rightChars="-50"/>
              <w:jc w:val="center"/>
              <w:rPr>
                <w:rFonts w:hint="eastAsia" w:ascii="宋体" w:hAnsi="宋体"/>
                <w:szCs w:val="21"/>
              </w:rPr>
            </w:pPr>
            <w:r>
              <w:rPr>
                <w:rFonts w:hint="eastAsia" w:ascii="宋体" w:hAnsi="宋体"/>
                <w:szCs w:val="21"/>
              </w:rPr>
              <w:t>磋商响应文件的完整性</w:t>
            </w:r>
          </w:p>
        </w:tc>
        <w:tc>
          <w:tcPr>
            <w:tcW w:w="697" w:type="dxa"/>
            <w:vAlign w:val="center"/>
          </w:tcPr>
          <w:p>
            <w:pPr>
              <w:spacing w:line="240" w:lineRule="exact"/>
              <w:ind w:left="-105" w:leftChars="-50" w:right="-105" w:rightChars="-50"/>
              <w:jc w:val="center"/>
              <w:rPr>
                <w:rFonts w:hint="eastAsia" w:ascii="宋体" w:hAnsi="宋体" w:eastAsiaTheme="minorEastAsia"/>
                <w:szCs w:val="21"/>
                <w:lang w:val="en-US" w:eastAsia="zh-CN"/>
              </w:rPr>
            </w:pPr>
            <w:r>
              <w:rPr>
                <w:rFonts w:hint="eastAsia" w:ascii="宋体" w:hAnsi="宋体"/>
                <w:szCs w:val="21"/>
                <w:lang w:val="en-US" w:eastAsia="zh-CN"/>
              </w:rPr>
              <w:t>3</w:t>
            </w:r>
          </w:p>
        </w:tc>
        <w:tc>
          <w:tcPr>
            <w:tcW w:w="6008" w:type="dxa"/>
            <w:vAlign w:val="center"/>
          </w:tcPr>
          <w:p>
            <w:pPr>
              <w:spacing w:line="240" w:lineRule="exact"/>
              <w:ind w:left="-105" w:leftChars="-50" w:right="-105" w:rightChars="-50"/>
              <w:rPr>
                <w:rFonts w:hint="eastAsia" w:ascii="宋体" w:hAnsi="宋体" w:eastAsiaTheme="minorEastAsia"/>
                <w:b/>
                <w:szCs w:val="21"/>
                <w:lang w:eastAsia="zh-CN"/>
              </w:rPr>
            </w:pPr>
            <w:r>
              <w:rPr>
                <w:rFonts w:hint="eastAsia" w:ascii="宋体" w:hAnsi="宋体"/>
                <w:szCs w:val="21"/>
              </w:rPr>
              <w:t>磋商响应</w:t>
            </w:r>
            <w:r>
              <w:rPr>
                <w:rFonts w:ascii="宋体" w:hAnsi="宋体"/>
                <w:szCs w:val="21"/>
              </w:rPr>
              <w:t>文件全面响应</w:t>
            </w:r>
            <w:r>
              <w:rPr>
                <w:rFonts w:hint="eastAsia" w:ascii="宋体" w:hAnsi="宋体"/>
                <w:szCs w:val="21"/>
              </w:rPr>
              <w:t>磋商</w:t>
            </w:r>
            <w:r>
              <w:rPr>
                <w:rFonts w:ascii="宋体" w:hAnsi="宋体"/>
                <w:szCs w:val="21"/>
              </w:rPr>
              <w:t>文件要求，编制完整、非活页装订，且有详细目录、连续页码、目录与有关材料装订顺序对应清晰、查阅方便得</w:t>
            </w:r>
            <w:r>
              <w:rPr>
                <w:rFonts w:hint="eastAsia" w:ascii="宋体" w:hAnsi="宋体"/>
                <w:szCs w:val="21"/>
              </w:rPr>
              <w:t>2</w:t>
            </w:r>
            <w:r>
              <w:rPr>
                <w:rFonts w:ascii="宋体" w:hAnsi="宋体"/>
                <w:szCs w:val="21"/>
              </w:rPr>
              <w:t>分。编排杂乱无章、叙述答非所问、资料残缺不全、资料模糊不清、前后不一致等，每处扣</w:t>
            </w:r>
            <w:r>
              <w:rPr>
                <w:rFonts w:hint="eastAsia" w:ascii="宋体" w:hAnsi="宋体"/>
                <w:szCs w:val="21"/>
              </w:rPr>
              <w:t>0.5</w:t>
            </w:r>
            <w:r>
              <w:rPr>
                <w:rFonts w:ascii="宋体" w:hAnsi="宋体"/>
                <w:szCs w:val="21"/>
              </w:rPr>
              <w:t>分，扣完为止</w:t>
            </w:r>
            <w:r>
              <w:rPr>
                <w:rFonts w:hint="eastAsia" w:ascii="宋体" w:hAnsi="宋体"/>
                <w:szCs w:val="21"/>
              </w:rPr>
              <w:t>，活页装订不得分</w:t>
            </w:r>
            <w:r>
              <w:rPr>
                <w:rFonts w:hint="eastAsia" w:ascii="宋体" w:hAnsi="宋体"/>
                <w:szCs w:val="21"/>
                <w:lang w:eastAsia="zh-CN"/>
              </w:rPr>
              <w:t>。</w:t>
            </w:r>
          </w:p>
        </w:tc>
        <w:tc>
          <w:tcPr>
            <w:tcW w:w="1021" w:type="dxa"/>
            <w:vAlign w:val="center"/>
          </w:tcPr>
          <w:p>
            <w:pPr>
              <w:spacing w:line="360" w:lineRule="auto"/>
              <w:ind w:left="-65" w:leftChars="-31" w:right="-36" w:rightChars="-17"/>
              <w:jc w:val="right"/>
              <w:rPr>
                <w:rFonts w:ascii="宋体" w:hAnsi="宋体" w:eastAsia="宋体" w:cs="Times New Roman"/>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7" w:type="dxa"/>
            <w:vMerge w:val="continue"/>
            <w:vAlign w:val="center"/>
          </w:tcPr>
          <w:p>
            <w:pPr>
              <w:numPr>
                <w:ilvl w:val="0"/>
                <w:numId w:val="5"/>
              </w:numPr>
              <w:tabs>
                <w:tab w:val="left" w:pos="322"/>
              </w:tabs>
              <w:spacing w:line="360" w:lineRule="auto"/>
              <w:ind w:left="-42" w:right="-42" w:rightChars="-20" w:firstLine="0"/>
              <w:jc w:val="right"/>
              <w:rPr>
                <w:rFonts w:ascii="宋体" w:hAnsi="宋体" w:eastAsia="宋体" w:cs="Times New Roman"/>
                <w:b/>
                <w:color w:val="000000" w:themeColor="text1"/>
                <w:sz w:val="24"/>
              </w:rPr>
            </w:pPr>
          </w:p>
        </w:tc>
        <w:tc>
          <w:tcPr>
            <w:tcW w:w="1129" w:type="dxa"/>
            <w:vAlign w:val="center"/>
          </w:tcPr>
          <w:p>
            <w:pPr>
              <w:widowControl/>
              <w:spacing w:line="300" w:lineRule="auto"/>
              <w:ind w:left="-105" w:leftChars="-50" w:right="-105" w:rightChars="-50"/>
              <w:jc w:val="center"/>
              <w:rPr>
                <w:rFonts w:hint="eastAsia" w:ascii="宋体" w:hAnsi="宋体" w:eastAsia="宋体" w:cs="Times New Roman"/>
                <w:b/>
                <w:color w:val="000000" w:themeColor="text1"/>
                <w:sz w:val="24"/>
                <w:szCs w:val="24"/>
                <w:lang w:eastAsia="zh-CN"/>
              </w:rPr>
            </w:pPr>
            <w:r>
              <w:rPr>
                <w:rFonts w:hint="eastAsia" w:ascii="宋体" w:hAnsi="宋体" w:eastAsia="宋体"/>
                <w:szCs w:val="21"/>
                <w:lang w:val="en-US" w:eastAsia="zh-CN"/>
              </w:rPr>
              <w:t>类似项目</w:t>
            </w:r>
          </w:p>
        </w:tc>
        <w:tc>
          <w:tcPr>
            <w:tcW w:w="697" w:type="dxa"/>
            <w:vAlign w:val="center"/>
          </w:tcPr>
          <w:p>
            <w:pPr>
              <w:spacing w:line="300" w:lineRule="auto"/>
              <w:ind w:left="-105" w:leftChars="-50" w:right="-105" w:rightChars="-50"/>
              <w:jc w:val="center"/>
              <w:rPr>
                <w:rFonts w:hint="default" w:ascii="宋体" w:hAnsi="宋体" w:eastAsia="宋体" w:cs="Times New Roman"/>
                <w:b/>
                <w:color w:val="000000" w:themeColor="text1"/>
                <w:sz w:val="24"/>
                <w:lang w:val="en-US" w:eastAsia="zh-CN"/>
              </w:rPr>
            </w:pPr>
            <w:r>
              <w:rPr>
                <w:rFonts w:hint="eastAsia" w:ascii="宋体" w:hAnsi="宋体" w:eastAsia="宋体" w:cs="Times New Roman"/>
                <w:b w:val="0"/>
                <w:bCs/>
                <w:color w:val="000000" w:themeColor="text1"/>
                <w:sz w:val="24"/>
                <w:lang w:val="en-US" w:eastAsia="zh-CN"/>
              </w:rPr>
              <w:t>6</w:t>
            </w:r>
          </w:p>
        </w:tc>
        <w:tc>
          <w:tcPr>
            <w:tcW w:w="6008" w:type="dxa"/>
            <w:vAlign w:val="center"/>
          </w:tcPr>
          <w:p>
            <w:pPr>
              <w:ind w:left="-105" w:leftChars="-50" w:right="-105" w:rightChars="-50"/>
              <w:rPr>
                <w:rFonts w:ascii="宋体" w:hAnsi="宋体" w:eastAsia="宋体" w:cs="Times New Roman"/>
                <w:color w:val="000000" w:themeColor="text1"/>
                <w:sz w:val="24"/>
              </w:rPr>
            </w:pPr>
            <w:r>
              <w:rPr>
                <w:rFonts w:hint="eastAsia" w:ascii="宋体" w:hAnsi="宋体"/>
                <w:szCs w:val="21"/>
                <w:lang w:eastAsia="zh-CN"/>
              </w:rPr>
              <w:t>在投标截止之日起近三年（以合同签订时间为准）</w:t>
            </w:r>
            <w:r>
              <w:rPr>
                <w:rFonts w:hint="eastAsia"/>
                <w:lang w:eastAsia="zh-CN"/>
              </w:rPr>
              <w:t>每</w:t>
            </w:r>
            <w:r>
              <w:rPr>
                <w:rFonts w:hint="eastAsia" w:ascii="宋体" w:hAnsi="宋体"/>
                <w:szCs w:val="21"/>
                <w:lang w:eastAsia="zh-CN"/>
              </w:rPr>
              <w:t>完成</w:t>
            </w:r>
            <w:r>
              <w:rPr>
                <w:rFonts w:hint="eastAsia" w:ascii="宋体" w:hAnsi="宋体"/>
                <w:szCs w:val="21"/>
                <w:lang w:val="en-US" w:eastAsia="zh-CN"/>
              </w:rPr>
              <w:t>一</w:t>
            </w:r>
            <w:r>
              <w:rPr>
                <w:rFonts w:hint="eastAsia" w:ascii="宋体" w:hAnsi="宋体"/>
                <w:szCs w:val="21"/>
                <w:lang w:eastAsia="zh-CN"/>
              </w:rPr>
              <w:t>项类似水利工程业绩得</w:t>
            </w:r>
            <w:r>
              <w:rPr>
                <w:rFonts w:hint="eastAsia" w:ascii="宋体" w:hAnsi="宋体"/>
                <w:szCs w:val="21"/>
                <w:lang w:val="en-US" w:eastAsia="zh-CN"/>
              </w:rPr>
              <w:t>1.5</w:t>
            </w:r>
            <w:r>
              <w:rPr>
                <w:rFonts w:hint="eastAsia" w:ascii="宋体" w:hAnsi="宋体"/>
                <w:szCs w:val="21"/>
                <w:lang w:eastAsia="zh-CN"/>
              </w:rPr>
              <w:t>分，</w:t>
            </w:r>
            <w:r>
              <w:rPr>
                <w:rFonts w:hint="eastAsia" w:ascii="宋体" w:hAnsi="宋体"/>
                <w:szCs w:val="21"/>
                <w:lang w:val="en-US" w:eastAsia="zh-CN"/>
              </w:rPr>
              <w:t>本项最高得6分</w:t>
            </w:r>
            <w:r>
              <w:rPr>
                <w:rFonts w:hint="eastAsia"/>
                <w:b/>
                <w:highlight w:val="none"/>
              </w:rPr>
              <w:t>（</w:t>
            </w:r>
            <w:r>
              <w:rPr>
                <w:rFonts w:hint="eastAsia"/>
                <w:b/>
                <w:highlight w:val="none"/>
                <w:lang w:val="en-US" w:eastAsia="zh-CN"/>
              </w:rPr>
              <w:t>供应商</w:t>
            </w:r>
            <w:r>
              <w:rPr>
                <w:rFonts w:hint="eastAsia"/>
                <w:b/>
                <w:highlight w:val="none"/>
              </w:rPr>
              <w:t>提供中标通知书、施工合同和工程</w:t>
            </w:r>
            <w:r>
              <w:rPr>
                <w:rFonts w:hint="eastAsia"/>
                <w:b/>
                <w:highlight w:val="none"/>
                <w:lang w:eastAsia="zh-CN"/>
              </w:rPr>
              <w:t>完工证明</w:t>
            </w:r>
            <w:r>
              <w:rPr>
                <w:rFonts w:hint="eastAsia"/>
                <w:b/>
                <w:highlight w:val="none"/>
              </w:rPr>
              <w:t>的原件真彩扫描打印件并加盖公章）</w:t>
            </w:r>
          </w:p>
        </w:tc>
        <w:tc>
          <w:tcPr>
            <w:tcW w:w="1021" w:type="dxa"/>
            <w:vAlign w:val="center"/>
          </w:tcPr>
          <w:p>
            <w:pPr>
              <w:spacing w:line="360" w:lineRule="auto"/>
              <w:ind w:left="-65" w:leftChars="-31" w:right="-36" w:rightChars="-17"/>
              <w:jc w:val="right"/>
              <w:rPr>
                <w:rFonts w:ascii="宋体" w:hAnsi="宋体" w:eastAsia="宋体" w:cs="Times New Roman"/>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jc w:val="center"/>
        </w:trPr>
        <w:tc>
          <w:tcPr>
            <w:tcW w:w="727" w:type="dxa"/>
            <w:vMerge w:val="continue"/>
            <w:vAlign w:val="center"/>
          </w:tcPr>
          <w:p>
            <w:pPr>
              <w:numPr>
                <w:ilvl w:val="0"/>
                <w:numId w:val="5"/>
              </w:numPr>
              <w:tabs>
                <w:tab w:val="left" w:pos="322"/>
              </w:tabs>
              <w:spacing w:line="360" w:lineRule="auto"/>
              <w:ind w:left="-42" w:right="-42" w:rightChars="-20" w:firstLine="0"/>
              <w:jc w:val="right"/>
              <w:rPr>
                <w:rFonts w:ascii="宋体" w:hAnsi="宋体" w:eastAsia="宋体" w:cs="Times New Roman"/>
                <w:b/>
                <w:color w:val="000000" w:themeColor="text1"/>
                <w:sz w:val="24"/>
              </w:rPr>
            </w:pPr>
          </w:p>
        </w:tc>
        <w:tc>
          <w:tcPr>
            <w:tcW w:w="1129" w:type="dxa"/>
            <w:vAlign w:val="center"/>
          </w:tcPr>
          <w:p>
            <w:pPr>
              <w:spacing w:line="300" w:lineRule="auto"/>
              <w:ind w:left="-105" w:leftChars="-50" w:right="-105" w:rightChars="-50"/>
              <w:jc w:val="center"/>
              <w:rPr>
                <w:rFonts w:hint="eastAsia" w:ascii="宋体" w:hAnsi="宋体" w:eastAsia="宋体"/>
                <w:szCs w:val="21"/>
              </w:rPr>
            </w:pPr>
            <w:r>
              <w:rPr>
                <w:rFonts w:hint="eastAsia" w:ascii="宋体" w:hAnsi="宋体"/>
                <w:szCs w:val="21"/>
                <w:highlight w:val="none"/>
              </w:rPr>
              <w:t>企业实力</w:t>
            </w:r>
          </w:p>
        </w:tc>
        <w:tc>
          <w:tcPr>
            <w:tcW w:w="697" w:type="dxa"/>
            <w:vAlign w:val="center"/>
          </w:tcPr>
          <w:p>
            <w:pPr>
              <w:spacing w:line="240" w:lineRule="exact"/>
              <w:ind w:left="-105" w:leftChars="-50" w:right="-105" w:rightChars="-50"/>
              <w:jc w:val="center"/>
              <w:rPr>
                <w:rFonts w:hint="eastAsia" w:ascii="宋体" w:hAnsi="宋体" w:eastAsia="宋体"/>
                <w:szCs w:val="21"/>
                <w:lang w:eastAsia="zh-CN"/>
              </w:rPr>
            </w:pPr>
            <w:r>
              <w:rPr>
                <w:rFonts w:hint="eastAsia" w:ascii="宋体" w:hAnsi="宋体" w:eastAsia="宋体"/>
                <w:szCs w:val="21"/>
                <w:highlight w:val="none"/>
                <w:lang w:val="en-US" w:eastAsia="zh-CN"/>
              </w:rPr>
              <w:t>3</w:t>
            </w:r>
          </w:p>
        </w:tc>
        <w:tc>
          <w:tcPr>
            <w:tcW w:w="6008" w:type="dxa"/>
            <w:vAlign w:val="center"/>
          </w:tcPr>
          <w:p>
            <w:pPr>
              <w:spacing w:line="240" w:lineRule="exact"/>
              <w:ind w:left="-105" w:leftChars="-50" w:right="-105" w:rightChars="-50"/>
              <w:rPr>
                <w:rFonts w:ascii="宋体" w:hAnsi="宋体"/>
                <w:szCs w:val="21"/>
                <w:highlight w:val="none"/>
              </w:rPr>
            </w:pPr>
            <w:r>
              <w:rPr>
                <w:rFonts w:hint="eastAsia" w:ascii="宋体" w:hAnsi="宋体"/>
                <w:szCs w:val="21"/>
                <w:highlight w:val="none"/>
              </w:rPr>
              <w:t>1.供应商具备合格有效的ISO9001质量管理体系认证证书得</w:t>
            </w:r>
            <w:r>
              <w:rPr>
                <w:rFonts w:hint="eastAsia" w:ascii="宋体" w:hAnsi="宋体"/>
                <w:szCs w:val="21"/>
                <w:highlight w:val="none"/>
                <w:lang w:val="en-US" w:eastAsia="zh-CN"/>
              </w:rPr>
              <w:t>1</w:t>
            </w:r>
            <w:r>
              <w:rPr>
                <w:rFonts w:hint="eastAsia" w:ascii="宋体" w:hAnsi="宋体"/>
                <w:szCs w:val="21"/>
                <w:highlight w:val="none"/>
              </w:rPr>
              <w:t>分；</w:t>
            </w:r>
          </w:p>
          <w:p>
            <w:pPr>
              <w:spacing w:line="240" w:lineRule="exact"/>
              <w:ind w:left="-105" w:leftChars="-50" w:right="-105" w:rightChars="-50"/>
              <w:rPr>
                <w:rFonts w:ascii="宋体" w:hAnsi="宋体"/>
                <w:szCs w:val="21"/>
                <w:highlight w:val="none"/>
              </w:rPr>
            </w:pPr>
            <w:r>
              <w:rPr>
                <w:rFonts w:hint="eastAsia" w:ascii="宋体" w:hAnsi="宋体"/>
                <w:szCs w:val="21"/>
                <w:highlight w:val="none"/>
              </w:rPr>
              <w:t>2.供应商具备合格有效的ISO14001环境管理体系认证证书得</w:t>
            </w:r>
            <w:r>
              <w:rPr>
                <w:rFonts w:hint="eastAsia" w:ascii="宋体" w:hAnsi="宋体"/>
                <w:szCs w:val="21"/>
                <w:highlight w:val="none"/>
                <w:lang w:val="en-US" w:eastAsia="zh-CN"/>
              </w:rPr>
              <w:t>1</w:t>
            </w:r>
            <w:r>
              <w:rPr>
                <w:rFonts w:hint="eastAsia" w:ascii="宋体" w:hAnsi="宋体"/>
                <w:szCs w:val="21"/>
                <w:highlight w:val="none"/>
              </w:rPr>
              <w:t>分；</w:t>
            </w:r>
          </w:p>
          <w:p>
            <w:pPr>
              <w:spacing w:line="240" w:lineRule="exact"/>
              <w:ind w:left="-105" w:leftChars="-50" w:right="-105" w:rightChars="-50"/>
              <w:rPr>
                <w:rFonts w:ascii="宋体" w:hAnsi="宋体"/>
                <w:szCs w:val="21"/>
                <w:highlight w:val="none"/>
              </w:rPr>
            </w:pPr>
            <w:r>
              <w:rPr>
                <w:rFonts w:hint="eastAsia" w:ascii="宋体" w:hAnsi="宋体"/>
                <w:szCs w:val="21"/>
                <w:highlight w:val="none"/>
              </w:rPr>
              <w:t>3.供应商具备合格有效的</w:t>
            </w:r>
            <w:r>
              <w:rPr>
                <w:rFonts w:hint="eastAsia" w:ascii="宋体" w:hAnsi="宋体"/>
                <w:szCs w:val="21"/>
                <w:highlight w:val="none"/>
                <w:lang w:val="en-US" w:eastAsia="zh-CN"/>
              </w:rPr>
              <w:t>ISO45001</w:t>
            </w:r>
            <w:r>
              <w:rPr>
                <w:rFonts w:hint="eastAsia" w:ascii="宋体" w:hAnsi="宋体"/>
                <w:szCs w:val="21"/>
                <w:highlight w:val="none"/>
              </w:rPr>
              <w:t>职业健康安全管理体系认证证书得</w:t>
            </w:r>
            <w:r>
              <w:rPr>
                <w:rFonts w:hint="eastAsia" w:ascii="宋体" w:hAnsi="宋体"/>
                <w:szCs w:val="21"/>
                <w:highlight w:val="none"/>
                <w:lang w:val="en-US" w:eastAsia="zh-CN"/>
              </w:rPr>
              <w:t>1</w:t>
            </w:r>
            <w:r>
              <w:rPr>
                <w:rFonts w:hint="eastAsia" w:ascii="宋体" w:hAnsi="宋体"/>
                <w:szCs w:val="21"/>
                <w:highlight w:val="none"/>
              </w:rPr>
              <w:t>分。</w:t>
            </w:r>
          </w:p>
          <w:p>
            <w:pPr>
              <w:spacing w:line="240" w:lineRule="exact"/>
              <w:ind w:left="-105" w:leftChars="-50" w:right="-105" w:rightChars="-50"/>
              <w:rPr>
                <w:rFonts w:hint="eastAsia" w:ascii="宋体" w:hAnsi="宋体"/>
                <w:b/>
                <w:bCs/>
                <w:szCs w:val="21"/>
              </w:rPr>
            </w:pPr>
            <w:r>
              <w:rPr>
                <w:rFonts w:hint="eastAsia" w:ascii="宋体" w:hAnsi="宋体"/>
                <w:b/>
                <w:szCs w:val="21"/>
                <w:highlight w:val="none"/>
              </w:rPr>
              <w:t>（提供以上认证证书的原件真彩扫描打印件并加盖公章）</w:t>
            </w:r>
          </w:p>
        </w:tc>
        <w:tc>
          <w:tcPr>
            <w:tcW w:w="1021" w:type="dxa"/>
            <w:vAlign w:val="center"/>
          </w:tcPr>
          <w:p>
            <w:pPr>
              <w:spacing w:line="360" w:lineRule="auto"/>
              <w:ind w:left="-65" w:leftChars="-31" w:right="-36" w:rightChars="-17"/>
              <w:jc w:val="right"/>
              <w:rPr>
                <w:rFonts w:ascii="宋体" w:hAnsi="宋体" w:eastAsia="宋体" w:cs="Times New Roman"/>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7" w:type="dxa"/>
            <w:vMerge w:val="continue"/>
            <w:vAlign w:val="center"/>
          </w:tcPr>
          <w:p>
            <w:pPr>
              <w:numPr>
                <w:ilvl w:val="0"/>
                <w:numId w:val="5"/>
              </w:numPr>
              <w:tabs>
                <w:tab w:val="left" w:pos="322"/>
              </w:tabs>
              <w:spacing w:line="360" w:lineRule="auto"/>
              <w:ind w:left="-42" w:right="-42" w:rightChars="-20" w:firstLine="0"/>
              <w:jc w:val="right"/>
              <w:rPr>
                <w:rFonts w:ascii="宋体" w:hAnsi="宋体" w:eastAsia="宋体" w:cs="Times New Roman"/>
                <w:b/>
                <w:color w:val="000000" w:themeColor="text1"/>
                <w:sz w:val="24"/>
              </w:rPr>
            </w:pPr>
          </w:p>
        </w:tc>
        <w:tc>
          <w:tcPr>
            <w:tcW w:w="1129" w:type="dxa"/>
            <w:vAlign w:val="center"/>
          </w:tcPr>
          <w:p>
            <w:pPr>
              <w:spacing w:line="300" w:lineRule="auto"/>
              <w:ind w:left="-105" w:leftChars="-50" w:right="-105" w:rightChars="-50"/>
              <w:jc w:val="center"/>
              <w:rPr>
                <w:rFonts w:hint="eastAsia" w:ascii="宋体" w:hAnsi="宋体" w:eastAsia="宋体" w:cs="Times New Roman"/>
                <w:b/>
                <w:color w:val="000000" w:themeColor="text1"/>
                <w:sz w:val="24"/>
                <w:szCs w:val="24"/>
                <w:lang w:eastAsia="zh-CN"/>
              </w:rPr>
            </w:pPr>
            <w:r>
              <w:rPr>
                <w:rFonts w:hint="eastAsia" w:ascii="宋体" w:hAnsi="宋体" w:eastAsia="宋体"/>
                <w:szCs w:val="21"/>
                <w:lang w:val="en-US" w:eastAsia="zh-CN"/>
              </w:rPr>
              <w:t>承诺</w:t>
            </w:r>
          </w:p>
        </w:tc>
        <w:tc>
          <w:tcPr>
            <w:tcW w:w="697" w:type="dxa"/>
            <w:vAlign w:val="center"/>
          </w:tcPr>
          <w:p>
            <w:pPr>
              <w:spacing w:line="300" w:lineRule="auto"/>
              <w:ind w:left="-105" w:leftChars="-50" w:right="-105" w:rightChars="-50"/>
              <w:jc w:val="center"/>
              <w:rPr>
                <w:rFonts w:hint="eastAsia" w:ascii="宋体" w:hAnsi="宋体" w:eastAsia="宋体" w:cs="Times New Roman"/>
                <w:b/>
                <w:color w:val="000000" w:themeColor="text1"/>
                <w:sz w:val="24"/>
                <w:lang w:eastAsia="zh-CN"/>
              </w:rPr>
            </w:pPr>
            <w:r>
              <w:rPr>
                <w:rFonts w:hint="eastAsia" w:ascii="宋体" w:hAnsi="宋体" w:eastAsia="宋体"/>
                <w:szCs w:val="21"/>
                <w:lang w:val="en-US" w:eastAsia="zh-CN"/>
              </w:rPr>
              <w:t>3</w:t>
            </w:r>
          </w:p>
        </w:tc>
        <w:tc>
          <w:tcPr>
            <w:tcW w:w="6008" w:type="dxa"/>
            <w:vAlign w:val="center"/>
          </w:tcPr>
          <w:p>
            <w:pPr>
              <w:ind w:left="-105" w:leftChars="-50" w:right="-105" w:rightChars="-50"/>
              <w:rPr>
                <w:rFonts w:hint="eastAsia" w:ascii="宋体" w:hAnsi="宋体"/>
                <w:szCs w:val="21"/>
                <w:lang w:eastAsia="zh-CN"/>
              </w:rPr>
            </w:pPr>
            <w:r>
              <w:rPr>
                <w:rFonts w:hint="eastAsia" w:ascii="宋体" w:hAnsi="宋体"/>
                <w:szCs w:val="21"/>
                <w:lang w:val="en-US" w:eastAsia="zh-CN"/>
              </w:rPr>
              <w:t>1.</w:t>
            </w:r>
            <w:r>
              <w:rPr>
                <w:rFonts w:hint="eastAsia" w:ascii="宋体" w:hAnsi="宋体"/>
                <w:szCs w:val="21"/>
                <w:lang w:eastAsia="zh-CN"/>
              </w:rPr>
              <w:t>承诺创建优质工程并有相应完善的管理措施的得1分，否则得0分；</w:t>
            </w:r>
          </w:p>
          <w:p>
            <w:pPr>
              <w:ind w:left="-105" w:leftChars="-50" w:right="-105" w:rightChars="-50"/>
              <w:rPr>
                <w:rFonts w:hint="eastAsia" w:ascii="宋体" w:hAnsi="宋体"/>
                <w:szCs w:val="21"/>
                <w:lang w:eastAsia="zh-CN"/>
              </w:rPr>
            </w:pPr>
            <w:r>
              <w:rPr>
                <w:rFonts w:hint="eastAsia" w:ascii="宋体" w:hAnsi="宋体"/>
                <w:szCs w:val="21"/>
                <w:lang w:val="en-US" w:eastAsia="zh-CN"/>
              </w:rPr>
              <w:t>2.</w:t>
            </w:r>
            <w:r>
              <w:rPr>
                <w:rFonts w:hint="eastAsia" w:ascii="宋体" w:hAnsi="宋体"/>
                <w:szCs w:val="21"/>
                <w:lang w:eastAsia="zh-CN"/>
              </w:rPr>
              <w:t>承诺施工过程中保障施工人员权益（包括但不限于为施工人员办理相关保险、不拖欠施工人员工资、保障施工人员福利等）的得1分，否则得0分；</w:t>
            </w:r>
          </w:p>
          <w:p>
            <w:pPr>
              <w:ind w:left="-105" w:leftChars="-50" w:right="-105" w:rightChars="-50"/>
              <w:rPr>
                <w:rFonts w:hint="eastAsia" w:ascii="宋体" w:hAnsi="宋体"/>
                <w:szCs w:val="21"/>
              </w:rPr>
            </w:pPr>
            <w:r>
              <w:rPr>
                <w:rFonts w:hint="eastAsia" w:ascii="宋体" w:hAnsi="宋体"/>
                <w:szCs w:val="21"/>
                <w:lang w:val="en-US" w:eastAsia="zh-CN"/>
              </w:rPr>
              <w:t>3.</w:t>
            </w:r>
            <w:r>
              <w:rPr>
                <w:rFonts w:hint="eastAsia" w:ascii="宋体" w:hAnsi="宋体"/>
                <w:szCs w:val="21"/>
                <w:lang w:eastAsia="zh-CN"/>
              </w:rPr>
              <w:t>承诺施工过程中保证项目经理和技术负责人月驻工地时间、不随意更换项目经理和技术负责人的得1分，否则得0分</w:t>
            </w:r>
            <w:r>
              <w:rPr>
                <w:rFonts w:hint="eastAsia" w:ascii="宋体" w:hAnsi="宋体"/>
                <w:szCs w:val="21"/>
              </w:rPr>
              <w:t>。</w:t>
            </w:r>
          </w:p>
          <w:p>
            <w:pPr>
              <w:ind w:left="-105" w:leftChars="-50" w:right="-105" w:rightChars="-50"/>
              <w:rPr>
                <w:rFonts w:ascii="宋体" w:hAnsi="宋体" w:cs="Times New Roman"/>
                <w:color w:val="000000" w:themeColor="text1"/>
                <w:sz w:val="24"/>
              </w:rPr>
            </w:pPr>
            <w:r>
              <w:rPr>
                <w:rFonts w:hint="eastAsia" w:ascii="宋体" w:hAnsi="宋体"/>
                <w:b/>
                <w:szCs w:val="21"/>
              </w:rPr>
              <w:t>（提供以上承诺书原件并加盖公章）</w:t>
            </w:r>
          </w:p>
        </w:tc>
        <w:tc>
          <w:tcPr>
            <w:tcW w:w="1021" w:type="dxa"/>
            <w:vAlign w:val="center"/>
          </w:tcPr>
          <w:p>
            <w:pPr>
              <w:spacing w:line="360" w:lineRule="auto"/>
              <w:ind w:left="-65" w:leftChars="-31" w:right="-36" w:rightChars="-17"/>
              <w:jc w:val="right"/>
              <w:rPr>
                <w:rFonts w:ascii="宋体" w:hAnsi="宋体" w:eastAsia="宋体" w:cs="Times New Roman"/>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53" w:type="dxa"/>
            <w:gridSpan w:val="3"/>
            <w:vAlign w:val="center"/>
          </w:tcPr>
          <w:p>
            <w:pPr>
              <w:spacing w:line="360" w:lineRule="auto"/>
              <w:ind w:left="-48" w:leftChars="-23" w:right="-36" w:rightChars="-17"/>
              <w:jc w:val="center"/>
              <w:rPr>
                <w:rFonts w:ascii="宋体" w:hAnsi="宋体" w:eastAsia="宋体" w:cs="Times New Roman"/>
                <w:b/>
                <w:color w:val="FF0000"/>
                <w:sz w:val="24"/>
              </w:rPr>
            </w:pPr>
            <w:r>
              <w:rPr>
                <w:rFonts w:hint="eastAsia" w:ascii="宋体" w:hAnsi="宋体" w:eastAsia="宋体" w:cs="Times New Roman"/>
                <w:b/>
                <w:color w:val="FF0000"/>
                <w:sz w:val="24"/>
              </w:rPr>
              <w:t>商务分合计</w:t>
            </w:r>
          </w:p>
        </w:tc>
        <w:tc>
          <w:tcPr>
            <w:tcW w:w="7029" w:type="dxa"/>
            <w:gridSpan w:val="2"/>
            <w:vAlign w:val="center"/>
          </w:tcPr>
          <w:p>
            <w:pPr>
              <w:spacing w:line="360" w:lineRule="auto"/>
              <w:ind w:left="-65" w:leftChars="-31" w:right="-36" w:rightChars="-17"/>
              <w:jc w:val="center"/>
              <w:rPr>
                <w:rFonts w:ascii="宋体" w:hAnsi="宋体" w:eastAsia="宋体" w:cs="Times New Roman"/>
                <w:b/>
                <w:color w:val="000000" w:themeColor="text1"/>
                <w:szCs w:val="21"/>
              </w:rPr>
            </w:pPr>
            <w:r>
              <w:rPr>
                <w:rFonts w:hint="eastAsia" w:ascii="宋体" w:hAnsi="宋体" w:eastAsia="宋体" w:cs="Times New Roman"/>
                <w:b/>
                <w:color w:val="000000" w:themeColor="text1"/>
                <w:szCs w:val="21"/>
                <w:lang w:val="en-US" w:eastAsia="zh-CN"/>
              </w:rPr>
              <w:t>15</w:t>
            </w:r>
            <w:r>
              <w:rPr>
                <w:rFonts w:hint="eastAsia" w:ascii="宋体" w:hAnsi="宋体" w:eastAsia="宋体" w:cs="Times New Roman"/>
                <w:b/>
                <w:color w:val="000000" w:themeColor="text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727" w:type="dxa"/>
            <w:vMerge w:val="restart"/>
            <w:shd w:val="pct10" w:color="auto" w:fill="auto"/>
            <w:vAlign w:val="center"/>
          </w:tcPr>
          <w:p>
            <w:pPr>
              <w:tabs>
                <w:tab w:val="left" w:pos="322"/>
              </w:tabs>
              <w:spacing w:line="360" w:lineRule="auto"/>
              <w:ind w:left="-42" w:right="-42" w:rightChars="-20"/>
              <w:jc w:val="right"/>
              <w:rPr>
                <w:rFonts w:ascii="宋体" w:hAnsi="宋体" w:eastAsia="宋体" w:cs="Times New Roman"/>
                <w:b/>
                <w:color w:val="000000" w:themeColor="text1"/>
                <w:sz w:val="24"/>
                <w:szCs w:val="24"/>
                <w:highlight w:val="none"/>
              </w:rPr>
            </w:pPr>
            <w:r>
              <w:rPr>
                <w:rFonts w:hint="eastAsia" w:ascii="宋体" w:hAnsi="宋体" w:eastAsia="宋体" w:cs="Times New Roman"/>
                <w:b/>
                <w:bCs/>
                <w:color w:val="000000" w:themeColor="text1"/>
                <w:sz w:val="28"/>
                <w:szCs w:val="28"/>
                <w:highlight w:val="none"/>
              </w:rPr>
              <w:t>技术服务评议</w:t>
            </w:r>
          </w:p>
        </w:tc>
        <w:tc>
          <w:tcPr>
            <w:tcW w:w="1129" w:type="dxa"/>
            <w:shd w:val="pct10" w:color="auto" w:fill="auto"/>
            <w:vAlign w:val="center"/>
          </w:tcPr>
          <w:p>
            <w:pPr>
              <w:spacing w:line="360" w:lineRule="auto"/>
              <w:ind w:left="-78" w:leftChars="-37" w:right="-86" w:rightChars="-41"/>
              <w:jc w:val="center"/>
              <w:rPr>
                <w:rFonts w:ascii="宋体" w:hAnsi="宋体" w:eastAsia="宋体" w:cs="Times New Roman"/>
                <w:b/>
                <w:color w:val="000000" w:themeColor="text1"/>
                <w:sz w:val="24"/>
                <w:szCs w:val="24"/>
                <w:highlight w:val="none"/>
              </w:rPr>
            </w:pPr>
            <w:r>
              <w:rPr>
                <w:rFonts w:hint="eastAsia" w:ascii="宋体" w:hAnsi="宋体" w:eastAsia="宋体" w:cs="Times New Roman"/>
                <w:b/>
                <w:color w:val="000000" w:themeColor="text1"/>
                <w:sz w:val="24"/>
                <w:szCs w:val="24"/>
                <w:highlight w:val="none"/>
              </w:rPr>
              <w:t>评审因素</w:t>
            </w:r>
          </w:p>
        </w:tc>
        <w:tc>
          <w:tcPr>
            <w:tcW w:w="697" w:type="dxa"/>
            <w:shd w:val="pct10" w:color="auto" w:fill="auto"/>
            <w:vAlign w:val="center"/>
          </w:tcPr>
          <w:p>
            <w:pPr>
              <w:spacing w:line="360" w:lineRule="auto"/>
              <w:ind w:left="-73" w:leftChars="-35" w:right="-80" w:rightChars="-38"/>
              <w:jc w:val="center"/>
              <w:rPr>
                <w:rFonts w:ascii="宋体" w:hAnsi="宋体" w:eastAsia="宋体" w:cs="Times New Roman"/>
                <w:b/>
                <w:color w:val="000000" w:themeColor="text1"/>
                <w:sz w:val="24"/>
                <w:szCs w:val="24"/>
                <w:highlight w:val="none"/>
              </w:rPr>
            </w:pPr>
            <w:r>
              <w:rPr>
                <w:rFonts w:hint="eastAsia" w:ascii="宋体" w:hAnsi="宋体" w:eastAsia="宋体" w:cs="Times New Roman"/>
                <w:b/>
                <w:color w:val="000000" w:themeColor="text1"/>
                <w:sz w:val="24"/>
                <w:szCs w:val="24"/>
                <w:highlight w:val="none"/>
              </w:rPr>
              <w:t>分值</w:t>
            </w:r>
          </w:p>
        </w:tc>
        <w:tc>
          <w:tcPr>
            <w:tcW w:w="6008" w:type="dxa"/>
            <w:shd w:val="pct10" w:color="auto" w:fill="auto"/>
            <w:vAlign w:val="center"/>
          </w:tcPr>
          <w:p>
            <w:pPr>
              <w:spacing w:line="360" w:lineRule="auto"/>
              <w:ind w:left="-78" w:leftChars="-37" w:right="-86" w:rightChars="-41"/>
              <w:jc w:val="center"/>
              <w:rPr>
                <w:rFonts w:ascii="宋体" w:hAnsi="宋体" w:eastAsia="宋体" w:cs="Times New Roman"/>
                <w:b/>
                <w:color w:val="000000" w:themeColor="text1"/>
                <w:sz w:val="24"/>
                <w:szCs w:val="24"/>
                <w:highlight w:val="none"/>
              </w:rPr>
            </w:pPr>
            <w:r>
              <w:rPr>
                <w:rFonts w:hint="eastAsia" w:ascii="宋体" w:hAnsi="宋体" w:eastAsia="宋体" w:cs="Times New Roman"/>
                <w:b/>
                <w:color w:val="000000" w:themeColor="text1"/>
                <w:sz w:val="24"/>
                <w:szCs w:val="24"/>
                <w:highlight w:val="none"/>
              </w:rPr>
              <w:t>评分标准</w:t>
            </w:r>
          </w:p>
        </w:tc>
        <w:tc>
          <w:tcPr>
            <w:tcW w:w="1021" w:type="dxa"/>
            <w:shd w:val="pct10" w:color="auto" w:fill="auto"/>
            <w:vAlign w:val="center"/>
          </w:tcPr>
          <w:p>
            <w:pPr>
              <w:spacing w:line="360" w:lineRule="auto"/>
              <w:jc w:val="center"/>
              <w:rPr>
                <w:rFonts w:ascii="宋体" w:hAnsi="宋体" w:eastAsia="宋体" w:cs="Times New Roman"/>
                <w:b/>
                <w:color w:val="000000" w:themeColor="text1"/>
                <w:sz w:val="24"/>
                <w:szCs w:val="24"/>
              </w:rPr>
            </w:pPr>
            <w:r>
              <w:rPr>
                <w:rFonts w:hint="eastAsia" w:ascii="宋体" w:hAnsi="宋体" w:eastAsia="宋体" w:cs="Times New Roman"/>
                <w:b/>
                <w:color w:val="000000" w:themeColor="text1"/>
                <w:sz w:val="24"/>
                <w:szCs w:val="24"/>
              </w:rPr>
              <w:t>因素</w:t>
            </w:r>
          </w:p>
          <w:p>
            <w:pPr>
              <w:spacing w:line="360" w:lineRule="auto"/>
              <w:jc w:val="center"/>
              <w:rPr>
                <w:rFonts w:ascii="宋体" w:hAnsi="宋体" w:eastAsia="宋体" w:cs="Times New Roman"/>
                <w:b/>
                <w:color w:val="000000" w:themeColor="text1"/>
                <w:sz w:val="24"/>
                <w:szCs w:val="24"/>
              </w:rPr>
            </w:pPr>
            <w:r>
              <w:rPr>
                <w:rFonts w:hint="eastAsia" w:ascii="宋体" w:hAnsi="宋体" w:eastAsia="宋体" w:cs="Times New Roman"/>
                <w:b/>
                <w:color w:val="000000" w:themeColor="text1"/>
                <w:sz w:val="24"/>
                <w:szCs w:val="24"/>
              </w:rPr>
              <w:t>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7" w:type="dxa"/>
            <w:vMerge w:val="continue"/>
            <w:vAlign w:val="center"/>
          </w:tcPr>
          <w:p>
            <w:pPr>
              <w:tabs>
                <w:tab w:val="left" w:pos="322"/>
              </w:tabs>
              <w:spacing w:line="360" w:lineRule="auto"/>
              <w:ind w:left="-42" w:right="-42" w:rightChars="-20"/>
              <w:jc w:val="right"/>
              <w:rPr>
                <w:rFonts w:ascii="宋体" w:hAnsi="宋体" w:eastAsia="宋体" w:cs="Times New Roman"/>
                <w:b/>
                <w:color w:val="000000" w:themeColor="text1"/>
                <w:sz w:val="24"/>
              </w:rPr>
            </w:pPr>
          </w:p>
        </w:tc>
        <w:tc>
          <w:tcPr>
            <w:tcW w:w="1129" w:type="dxa"/>
            <w:vAlign w:val="center"/>
          </w:tcPr>
          <w:p>
            <w:pPr>
              <w:widowControl/>
              <w:jc w:val="center"/>
              <w:rPr>
                <w:rFonts w:ascii="宋体" w:hAnsi="宋体" w:eastAsia="宋体" w:cs="Times New Roman"/>
                <w:b/>
                <w:color w:val="000000" w:themeColor="text1"/>
                <w:sz w:val="24"/>
                <w:szCs w:val="24"/>
              </w:rPr>
            </w:pPr>
            <w:r>
              <w:rPr>
                <w:rFonts w:hint="eastAsia" w:ascii="宋体" w:hAnsi="宋体"/>
                <w:szCs w:val="21"/>
              </w:rPr>
              <w:t>施工方案</w:t>
            </w:r>
          </w:p>
        </w:tc>
        <w:tc>
          <w:tcPr>
            <w:tcW w:w="697" w:type="dxa"/>
            <w:vAlign w:val="center"/>
          </w:tcPr>
          <w:p>
            <w:pPr>
              <w:widowControl/>
              <w:jc w:val="center"/>
              <w:rPr>
                <w:rFonts w:hint="eastAsia" w:ascii="宋体" w:hAnsi="宋体" w:cs="Times New Roman" w:eastAsiaTheme="minorEastAsia"/>
                <w:b/>
                <w:color w:val="000000" w:themeColor="text1"/>
                <w:sz w:val="24"/>
                <w:lang w:val="en-US" w:eastAsia="zh-CN"/>
              </w:rPr>
            </w:pPr>
            <w:r>
              <w:rPr>
                <w:rFonts w:hint="eastAsia" w:ascii="宋体" w:hAnsi="宋体"/>
                <w:szCs w:val="21"/>
              </w:rPr>
              <w:t>1</w:t>
            </w:r>
            <w:r>
              <w:rPr>
                <w:rFonts w:hint="eastAsia" w:ascii="宋体" w:hAnsi="宋体"/>
                <w:szCs w:val="21"/>
                <w:lang w:val="en-US" w:eastAsia="zh-CN"/>
              </w:rPr>
              <w:t>0</w:t>
            </w:r>
          </w:p>
        </w:tc>
        <w:tc>
          <w:tcPr>
            <w:tcW w:w="6008" w:type="dxa"/>
            <w:vAlign w:val="center"/>
          </w:tcPr>
          <w:p>
            <w:pPr>
              <w:widowControl/>
              <w:jc w:val="left"/>
              <w:rPr>
                <w:rFonts w:ascii="宋体" w:hAnsi="宋体" w:eastAsia="宋体" w:cs="Times New Roman"/>
                <w:color w:val="000000" w:themeColor="text1"/>
                <w:sz w:val="24"/>
              </w:rPr>
            </w:pPr>
            <w:r>
              <w:rPr>
                <w:rFonts w:hint="eastAsia" w:ascii="宋体" w:hAnsi="宋体"/>
                <w:szCs w:val="21"/>
              </w:rPr>
              <w:t>供应商的施工方案先进可行，施工技术措施符合本项目场地条件及工程特点要求，且详细的得8-10分；施工方案满足本项目要求，施工技术措施符合本项目场地条件和工程特点要求的得5-7分；施工方案基本可行，施工措施制定不详细的得0-4分。</w:t>
            </w:r>
          </w:p>
        </w:tc>
        <w:tc>
          <w:tcPr>
            <w:tcW w:w="1021" w:type="dxa"/>
            <w:vAlign w:val="center"/>
          </w:tcPr>
          <w:p>
            <w:pPr>
              <w:spacing w:line="360" w:lineRule="auto"/>
              <w:ind w:left="-65" w:leftChars="-31" w:right="-36" w:rightChars="-17"/>
              <w:jc w:val="right"/>
              <w:rPr>
                <w:rFonts w:ascii="宋体" w:hAnsi="宋体" w:eastAsia="宋体" w:cs="Times New Roman"/>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7" w:type="dxa"/>
            <w:vMerge w:val="continue"/>
            <w:vAlign w:val="center"/>
          </w:tcPr>
          <w:p>
            <w:pPr>
              <w:tabs>
                <w:tab w:val="left" w:pos="322"/>
              </w:tabs>
              <w:spacing w:line="360" w:lineRule="auto"/>
              <w:ind w:left="-42" w:right="-42" w:rightChars="-20"/>
              <w:jc w:val="right"/>
              <w:rPr>
                <w:rFonts w:ascii="宋体" w:hAnsi="宋体" w:eastAsia="宋体" w:cs="Times New Roman"/>
                <w:b/>
                <w:color w:val="000000" w:themeColor="text1"/>
                <w:sz w:val="24"/>
              </w:rPr>
            </w:pPr>
          </w:p>
        </w:tc>
        <w:tc>
          <w:tcPr>
            <w:tcW w:w="1129" w:type="dxa"/>
            <w:vAlign w:val="center"/>
          </w:tcPr>
          <w:p>
            <w:pPr>
              <w:jc w:val="center"/>
              <w:rPr>
                <w:rFonts w:hint="eastAsia" w:ascii="宋体" w:hAnsi="宋体" w:eastAsia="宋体" w:cs="Times New Roman"/>
                <w:b/>
                <w:color w:val="000000" w:themeColor="text1"/>
                <w:sz w:val="24"/>
                <w:szCs w:val="24"/>
                <w:lang w:eastAsia="zh-CN"/>
              </w:rPr>
            </w:pPr>
            <w:r>
              <w:rPr>
                <w:rFonts w:hint="eastAsia" w:ascii="宋体" w:hAnsi="宋体" w:eastAsia="宋体"/>
                <w:szCs w:val="21"/>
                <w:lang w:eastAsia="zh-CN"/>
              </w:rPr>
              <w:t>项目理解</w:t>
            </w:r>
          </w:p>
        </w:tc>
        <w:tc>
          <w:tcPr>
            <w:tcW w:w="697" w:type="dxa"/>
            <w:vAlign w:val="center"/>
          </w:tcPr>
          <w:p>
            <w:pPr>
              <w:jc w:val="center"/>
              <w:rPr>
                <w:rFonts w:hint="eastAsia" w:ascii="宋体" w:hAnsi="宋体" w:eastAsia="宋体" w:cs="Times New Roman"/>
                <w:b/>
                <w:color w:val="000000" w:themeColor="text1"/>
                <w:sz w:val="24"/>
                <w:lang w:eastAsia="zh-CN"/>
              </w:rPr>
            </w:pPr>
            <w:r>
              <w:rPr>
                <w:rFonts w:hint="eastAsia" w:ascii="宋体" w:hAnsi="宋体" w:eastAsia="宋体"/>
                <w:szCs w:val="21"/>
                <w:lang w:val="en-US" w:eastAsia="zh-CN"/>
              </w:rPr>
              <w:t>9</w:t>
            </w:r>
          </w:p>
        </w:tc>
        <w:tc>
          <w:tcPr>
            <w:tcW w:w="6008" w:type="dxa"/>
            <w:vAlign w:val="center"/>
          </w:tcPr>
          <w:p>
            <w:pPr>
              <w:jc w:val="left"/>
              <w:rPr>
                <w:rFonts w:ascii="宋体" w:hAnsi="宋体" w:eastAsia="宋体" w:cs="Times New Roman"/>
                <w:color w:val="000000" w:themeColor="text1"/>
                <w:sz w:val="24"/>
              </w:rPr>
            </w:pPr>
            <w:r>
              <w:rPr>
                <w:rFonts w:hint="eastAsia" w:ascii="宋体" w:hAnsi="宋体"/>
                <w:szCs w:val="21"/>
              </w:rPr>
              <w:t>供应商针对本项目制定的施工重点难点分析报告非常详细，思路清晰，完全符合项目实际情况的得</w:t>
            </w:r>
            <w:r>
              <w:rPr>
                <w:rFonts w:hint="eastAsia" w:ascii="宋体" w:hAnsi="宋体"/>
                <w:szCs w:val="21"/>
                <w:lang w:val="en-US" w:eastAsia="zh-CN"/>
              </w:rPr>
              <w:t>7-9</w:t>
            </w:r>
            <w:r>
              <w:rPr>
                <w:rFonts w:hint="eastAsia" w:ascii="宋体" w:hAnsi="宋体"/>
                <w:szCs w:val="21"/>
              </w:rPr>
              <w:t>分；供应商针对本项目制定的施工重点难点分析报告基本详细，符合项目实际情况的得</w:t>
            </w:r>
            <w:r>
              <w:rPr>
                <w:rFonts w:hint="eastAsia" w:ascii="宋体" w:hAnsi="宋体"/>
                <w:szCs w:val="21"/>
                <w:lang w:val="en-US" w:eastAsia="zh-CN"/>
              </w:rPr>
              <w:t>4-6</w:t>
            </w:r>
            <w:r>
              <w:rPr>
                <w:rFonts w:hint="eastAsia" w:ascii="宋体" w:hAnsi="宋体"/>
                <w:szCs w:val="21"/>
              </w:rPr>
              <w:t>分；供应商针对本项目制定的施工重点难点分析报告简单描述，勉强符合项目实际情况的得</w:t>
            </w:r>
            <w:r>
              <w:rPr>
                <w:rFonts w:hint="eastAsia" w:ascii="宋体" w:hAnsi="宋体"/>
                <w:szCs w:val="21"/>
                <w:lang w:val="en-US" w:eastAsia="zh-CN"/>
              </w:rPr>
              <w:t>0-3</w:t>
            </w:r>
            <w:r>
              <w:rPr>
                <w:rFonts w:hint="eastAsia" w:ascii="宋体" w:hAnsi="宋体"/>
                <w:szCs w:val="21"/>
              </w:rPr>
              <w:t>分。</w:t>
            </w:r>
          </w:p>
        </w:tc>
        <w:tc>
          <w:tcPr>
            <w:tcW w:w="1021" w:type="dxa"/>
            <w:vAlign w:val="center"/>
          </w:tcPr>
          <w:p>
            <w:pPr>
              <w:spacing w:line="360" w:lineRule="auto"/>
              <w:ind w:left="-65" w:leftChars="-31" w:right="-36" w:rightChars="-17"/>
              <w:jc w:val="right"/>
              <w:rPr>
                <w:rFonts w:ascii="宋体" w:hAnsi="宋体" w:eastAsia="宋体" w:cs="Times New Roman"/>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7" w:type="dxa"/>
            <w:vMerge w:val="continue"/>
            <w:vAlign w:val="center"/>
          </w:tcPr>
          <w:p>
            <w:pPr>
              <w:tabs>
                <w:tab w:val="left" w:pos="322"/>
              </w:tabs>
              <w:spacing w:line="360" w:lineRule="auto"/>
              <w:ind w:left="-42" w:right="-42" w:rightChars="-20"/>
              <w:jc w:val="right"/>
              <w:rPr>
                <w:rFonts w:ascii="宋体" w:hAnsi="宋体" w:eastAsia="宋体" w:cs="Times New Roman"/>
                <w:b/>
                <w:color w:val="000000" w:themeColor="text1"/>
                <w:sz w:val="24"/>
              </w:rPr>
            </w:pPr>
          </w:p>
        </w:tc>
        <w:tc>
          <w:tcPr>
            <w:tcW w:w="1129" w:type="dxa"/>
            <w:vAlign w:val="center"/>
          </w:tcPr>
          <w:p>
            <w:pPr>
              <w:widowControl/>
              <w:jc w:val="center"/>
              <w:rPr>
                <w:rFonts w:ascii="宋体" w:hAnsi="宋体" w:eastAsia="宋体" w:cs="Times New Roman"/>
                <w:b/>
                <w:color w:val="000000" w:themeColor="text1"/>
                <w:sz w:val="24"/>
                <w:szCs w:val="24"/>
              </w:rPr>
            </w:pPr>
            <w:r>
              <w:rPr>
                <w:rFonts w:hint="eastAsia" w:ascii="宋体" w:hAnsi="宋体"/>
                <w:szCs w:val="21"/>
              </w:rPr>
              <w:t>质量保障措施</w:t>
            </w:r>
          </w:p>
        </w:tc>
        <w:tc>
          <w:tcPr>
            <w:tcW w:w="697" w:type="dxa"/>
            <w:vAlign w:val="center"/>
          </w:tcPr>
          <w:p>
            <w:pPr>
              <w:widowControl/>
              <w:jc w:val="center"/>
              <w:rPr>
                <w:rFonts w:hint="default" w:ascii="宋体" w:hAnsi="宋体" w:eastAsia="宋体" w:cs="Times New Roman"/>
                <w:b/>
                <w:color w:val="000000" w:themeColor="text1"/>
                <w:sz w:val="24"/>
                <w:lang w:val="en-US" w:eastAsia="zh-CN"/>
              </w:rPr>
            </w:pPr>
            <w:r>
              <w:rPr>
                <w:rFonts w:hint="eastAsia" w:ascii="宋体" w:hAnsi="宋体" w:eastAsia="宋体"/>
                <w:szCs w:val="21"/>
                <w:lang w:val="en-US" w:eastAsia="zh-CN"/>
              </w:rPr>
              <w:t>10</w:t>
            </w:r>
          </w:p>
        </w:tc>
        <w:tc>
          <w:tcPr>
            <w:tcW w:w="6008" w:type="dxa"/>
            <w:vAlign w:val="center"/>
          </w:tcPr>
          <w:p>
            <w:pPr>
              <w:spacing w:line="240" w:lineRule="auto"/>
              <w:rPr>
                <w:rFonts w:ascii="宋体" w:hAnsi="宋体" w:cs="Times New Roman"/>
                <w:color w:val="000000" w:themeColor="text1"/>
                <w:sz w:val="24"/>
              </w:rPr>
            </w:pPr>
            <w:r>
              <w:rPr>
                <w:rFonts w:hint="eastAsia" w:ascii="宋体" w:hAnsi="宋体"/>
                <w:szCs w:val="21"/>
              </w:rPr>
              <w:t>供应商针对本项目的质量保障措施配置科学合理、规章制度健全、岗位职责及质量管理目标明确得</w:t>
            </w:r>
            <w:r>
              <w:rPr>
                <w:rFonts w:hint="eastAsia" w:ascii="宋体" w:hAnsi="宋体"/>
                <w:szCs w:val="21"/>
                <w:lang w:val="en-US" w:eastAsia="zh-CN"/>
              </w:rPr>
              <w:t>8-10</w:t>
            </w:r>
            <w:r>
              <w:rPr>
                <w:rFonts w:hint="eastAsia" w:ascii="宋体" w:hAnsi="宋体"/>
                <w:szCs w:val="21"/>
              </w:rPr>
              <w:t>分；质量保障措施配置合理、规章制度健全、岗位职责及质量管理目标明确的得</w:t>
            </w:r>
            <w:r>
              <w:rPr>
                <w:rFonts w:hint="eastAsia" w:ascii="宋体" w:hAnsi="宋体"/>
                <w:szCs w:val="21"/>
                <w:lang w:val="en-US" w:eastAsia="zh-CN"/>
              </w:rPr>
              <w:t>5-7</w:t>
            </w:r>
            <w:r>
              <w:rPr>
                <w:rFonts w:hint="eastAsia" w:ascii="宋体" w:hAnsi="宋体"/>
                <w:szCs w:val="21"/>
              </w:rPr>
              <w:t>分；质量保障措施配置基本合理、规章制度健全、岗位职责及质量管理目标基本明确的得0-</w:t>
            </w:r>
            <w:r>
              <w:rPr>
                <w:rFonts w:hint="eastAsia" w:ascii="宋体" w:hAnsi="宋体"/>
                <w:szCs w:val="21"/>
                <w:lang w:val="en-US" w:eastAsia="zh-CN"/>
              </w:rPr>
              <w:t>4</w:t>
            </w:r>
            <w:r>
              <w:rPr>
                <w:rFonts w:hint="eastAsia" w:ascii="宋体" w:hAnsi="宋体"/>
                <w:szCs w:val="21"/>
              </w:rPr>
              <w:t>分。</w:t>
            </w:r>
          </w:p>
        </w:tc>
        <w:tc>
          <w:tcPr>
            <w:tcW w:w="1021" w:type="dxa"/>
            <w:vAlign w:val="center"/>
          </w:tcPr>
          <w:p>
            <w:pPr>
              <w:spacing w:line="360" w:lineRule="auto"/>
              <w:ind w:left="-65" w:leftChars="-31" w:right="-36" w:rightChars="-17"/>
              <w:jc w:val="right"/>
              <w:rPr>
                <w:rFonts w:ascii="宋体" w:hAnsi="宋体" w:eastAsia="宋体" w:cs="Times New Roman"/>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jc w:val="center"/>
        </w:trPr>
        <w:tc>
          <w:tcPr>
            <w:tcW w:w="727" w:type="dxa"/>
            <w:vMerge w:val="continue"/>
            <w:vAlign w:val="center"/>
          </w:tcPr>
          <w:p>
            <w:pPr>
              <w:tabs>
                <w:tab w:val="left" w:pos="322"/>
              </w:tabs>
              <w:spacing w:line="360" w:lineRule="auto"/>
              <w:ind w:left="-42" w:right="-42" w:rightChars="-20"/>
              <w:jc w:val="right"/>
              <w:rPr>
                <w:rFonts w:ascii="宋体" w:hAnsi="宋体" w:eastAsia="宋体" w:cs="Times New Roman"/>
                <w:b/>
                <w:color w:val="000000" w:themeColor="text1"/>
                <w:sz w:val="24"/>
              </w:rPr>
            </w:pPr>
          </w:p>
        </w:tc>
        <w:tc>
          <w:tcPr>
            <w:tcW w:w="1129" w:type="dxa"/>
            <w:vAlign w:val="center"/>
          </w:tcPr>
          <w:p>
            <w:pPr>
              <w:widowControl/>
              <w:jc w:val="center"/>
              <w:rPr>
                <w:rFonts w:ascii="宋体" w:hAnsi="宋体"/>
                <w:szCs w:val="21"/>
              </w:rPr>
            </w:pPr>
            <w:r>
              <w:rPr>
                <w:rFonts w:hint="eastAsia" w:ascii="宋体" w:hAnsi="宋体"/>
                <w:szCs w:val="21"/>
              </w:rPr>
              <w:t>安全、文明管理体系与措施</w:t>
            </w:r>
          </w:p>
        </w:tc>
        <w:tc>
          <w:tcPr>
            <w:tcW w:w="697" w:type="dxa"/>
            <w:vAlign w:val="center"/>
          </w:tcPr>
          <w:p>
            <w:pPr>
              <w:spacing w:line="400" w:lineRule="exact"/>
              <w:jc w:val="center"/>
              <w:rPr>
                <w:rFonts w:hint="eastAsia" w:ascii="宋体" w:hAnsi="宋体" w:eastAsiaTheme="minorEastAsia"/>
                <w:szCs w:val="21"/>
                <w:lang w:eastAsia="zh-CN"/>
              </w:rPr>
            </w:pPr>
            <w:r>
              <w:rPr>
                <w:rFonts w:hint="eastAsia" w:ascii="宋体" w:hAnsi="宋体"/>
                <w:szCs w:val="21"/>
                <w:lang w:val="en-US" w:eastAsia="zh-CN"/>
              </w:rPr>
              <w:t>6</w:t>
            </w:r>
          </w:p>
        </w:tc>
        <w:tc>
          <w:tcPr>
            <w:tcW w:w="6008" w:type="dxa"/>
            <w:vAlign w:val="center"/>
          </w:tcPr>
          <w:p>
            <w:pPr>
              <w:spacing w:line="240" w:lineRule="auto"/>
              <w:rPr>
                <w:rFonts w:ascii="宋体" w:hAnsi="宋体"/>
                <w:color w:val="000000"/>
                <w:szCs w:val="21"/>
              </w:rPr>
            </w:pPr>
            <w:r>
              <w:rPr>
                <w:rFonts w:hint="eastAsia" w:ascii="宋体" w:hAnsi="宋体"/>
                <w:szCs w:val="21"/>
              </w:rPr>
              <w:t>供应商的安全生产、文明施工管理资源配置科学合理、管理制度健全、安全生产预案与措施针对性强的得</w:t>
            </w:r>
            <w:r>
              <w:rPr>
                <w:rFonts w:hint="eastAsia" w:ascii="宋体" w:hAnsi="宋体"/>
                <w:szCs w:val="21"/>
                <w:lang w:val="en-US" w:eastAsia="zh-CN"/>
              </w:rPr>
              <w:t>5-6</w:t>
            </w:r>
            <w:r>
              <w:rPr>
                <w:rFonts w:hint="eastAsia" w:ascii="宋体" w:hAnsi="宋体"/>
                <w:szCs w:val="21"/>
              </w:rPr>
              <w:t>分；安全生产、文明施工管理资源配置合理、管理制度健全、安全生产预案与措施完善的得</w:t>
            </w:r>
            <w:r>
              <w:rPr>
                <w:rFonts w:hint="eastAsia" w:ascii="宋体" w:hAnsi="宋体"/>
                <w:szCs w:val="21"/>
                <w:lang w:val="en-US" w:eastAsia="zh-CN"/>
              </w:rPr>
              <w:t>3-4</w:t>
            </w:r>
            <w:r>
              <w:rPr>
                <w:rFonts w:hint="eastAsia" w:ascii="宋体" w:hAnsi="宋体"/>
                <w:szCs w:val="21"/>
              </w:rPr>
              <w:t>分；安全生产、文明施工管理资源配置基本合理、管理制度健全、安全生产预案与措施勉强完善的得0-</w:t>
            </w:r>
            <w:r>
              <w:rPr>
                <w:rFonts w:hint="eastAsia" w:ascii="宋体" w:hAnsi="宋体"/>
                <w:szCs w:val="21"/>
                <w:lang w:val="en-US" w:eastAsia="zh-CN"/>
              </w:rPr>
              <w:t>2</w:t>
            </w:r>
            <w:r>
              <w:rPr>
                <w:rFonts w:hint="eastAsia" w:ascii="宋体" w:hAnsi="宋体"/>
                <w:szCs w:val="21"/>
              </w:rPr>
              <w:t>分。</w:t>
            </w:r>
          </w:p>
        </w:tc>
        <w:tc>
          <w:tcPr>
            <w:tcW w:w="1021" w:type="dxa"/>
            <w:vAlign w:val="center"/>
          </w:tcPr>
          <w:p>
            <w:pPr>
              <w:spacing w:line="360" w:lineRule="auto"/>
              <w:ind w:left="-65" w:leftChars="-31" w:right="-36" w:rightChars="-17"/>
              <w:jc w:val="right"/>
              <w:rPr>
                <w:rFonts w:ascii="宋体" w:hAnsi="宋体" w:eastAsia="宋体" w:cs="Times New Roman"/>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4" w:hRule="atLeast"/>
          <w:jc w:val="center"/>
        </w:trPr>
        <w:tc>
          <w:tcPr>
            <w:tcW w:w="727" w:type="dxa"/>
            <w:vMerge w:val="continue"/>
            <w:vAlign w:val="center"/>
          </w:tcPr>
          <w:p>
            <w:pPr>
              <w:tabs>
                <w:tab w:val="left" w:pos="322"/>
              </w:tabs>
              <w:spacing w:line="360" w:lineRule="auto"/>
              <w:ind w:left="-42" w:right="-42" w:rightChars="-20"/>
              <w:jc w:val="right"/>
              <w:rPr>
                <w:rFonts w:ascii="宋体" w:hAnsi="宋体" w:eastAsia="宋体" w:cs="Times New Roman"/>
                <w:b/>
                <w:color w:val="000000" w:themeColor="text1"/>
                <w:sz w:val="24"/>
              </w:rPr>
            </w:pPr>
          </w:p>
        </w:tc>
        <w:tc>
          <w:tcPr>
            <w:tcW w:w="1129" w:type="dxa"/>
            <w:vAlign w:val="center"/>
          </w:tcPr>
          <w:p>
            <w:pPr>
              <w:widowControl/>
              <w:jc w:val="center"/>
              <w:rPr>
                <w:rFonts w:ascii="宋体" w:hAnsi="宋体"/>
                <w:szCs w:val="21"/>
              </w:rPr>
            </w:pPr>
            <w:r>
              <w:rPr>
                <w:rFonts w:hint="eastAsia" w:ascii="宋体" w:hAnsi="宋体"/>
                <w:szCs w:val="21"/>
              </w:rPr>
              <w:t>施工环保措施计划、减少噪音、降低环境污染</w:t>
            </w:r>
          </w:p>
        </w:tc>
        <w:tc>
          <w:tcPr>
            <w:tcW w:w="697" w:type="dxa"/>
            <w:vAlign w:val="center"/>
          </w:tcPr>
          <w:p>
            <w:pPr>
              <w:spacing w:line="400" w:lineRule="exact"/>
              <w:jc w:val="center"/>
              <w:rPr>
                <w:rFonts w:hint="eastAsia" w:ascii="宋体" w:hAnsi="宋体" w:eastAsiaTheme="minorEastAsia"/>
                <w:szCs w:val="21"/>
                <w:lang w:eastAsia="zh-CN"/>
              </w:rPr>
            </w:pPr>
            <w:r>
              <w:rPr>
                <w:rFonts w:hint="eastAsia" w:ascii="宋体" w:hAnsi="宋体"/>
                <w:szCs w:val="21"/>
                <w:lang w:val="en-US" w:eastAsia="zh-CN"/>
              </w:rPr>
              <w:t>6</w:t>
            </w:r>
          </w:p>
        </w:tc>
        <w:tc>
          <w:tcPr>
            <w:tcW w:w="6008" w:type="dxa"/>
            <w:vAlign w:val="center"/>
          </w:tcPr>
          <w:p>
            <w:pPr>
              <w:spacing w:line="240" w:lineRule="auto"/>
              <w:rPr>
                <w:rFonts w:ascii="宋体" w:hAnsi="宋体"/>
                <w:color w:val="000000"/>
                <w:szCs w:val="21"/>
              </w:rPr>
            </w:pPr>
            <w:r>
              <w:rPr>
                <w:rFonts w:hint="eastAsia" w:ascii="宋体" w:hAnsi="宋体"/>
                <w:szCs w:val="21"/>
                <w:lang w:val="en-US" w:eastAsia="zh-CN"/>
              </w:rPr>
              <w:t>供应商的施工环保措施计划、减少噪音、降低环境污染等措施科学先进、合理的得5-6分；施工环保措施计划、减少噪音、降低环境污染等措施合理的得3-4分；施工环保措施计划、减少噪音、降低环境污染等措施基本合理的得0-2分。</w:t>
            </w:r>
          </w:p>
        </w:tc>
        <w:tc>
          <w:tcPr>
            <w:tcW w:w="1021" w:type="dxa"/>
            <w:vAlign w:val="center"/>
          </w:tcPr>
          <w:p>
            <w:pPr>
              <w:spacing w:line="360" w:lineRule="auto"/>
              <w:ind w:left="-65" w:leftChars="-31" w:right="-36" w:rightChars="-17"/>
              <w:jc w:val="right"/>
              <w:rPr>
                <w:rFonts w:ascii="宋体" w:hAnsi="宋体" w:eastAsia="宋体" w:cs="Times New Roman"/>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7" w:type="dxa"/>
            <w:vMerge w:val="continue"/>
            <w:vAlign w:val="center"/>
          </w:tcPr>
          <w:p>
            <w:pPr>
              <w:tabs>
                <w:tab w:val="left" w:pos="322"/>
              </w:tabs>
              <w:spacing w:line="360" w:lineRule="auto"/>
              <w:ind w:left="-42" w:right="-42" w:rightChars="-20"/>
              <w:jc w:val="right"/>
              <w:rPr>
                <w:rFonts w:ascii="宋体" w:hAnsi="宋体" w:eastAsia="宋体" w:cs="Times New Roman"/>
                <w:b/>
                <w:color w:val="000000" w:themeColor="text1"/>
                <w:sz w:val="24"/>
              </w:rPr>
            </w:pPr>
          </w:p>
        </w:tc>
        <w:tc>
          <w:tcPr>
            <w:tcW w:w="1129" w:type="dxa"/>
            <w:vAlign w:val="center"/>
          </w:tcPr>
          <w:p>
            <w:pPr>
              <w:widowControl/>
              <w:jc w:val="center"/>
              <w:rPr>
                <w:rFonts w:ascii="宋体" w:hAnsi="宋体" w:eastAsia="宋体" w:cs="Times New Roman"/>
                <w:b/>
                <w:color w:val="000000" w:themeColor="text1"/>
                <w:sz w:val="24"/>
                <w:szCs w:val="24"/>
              </w:rPr>
            </w:pPr>
            <w:r>
              <w:rPr>
                <w:rFonts w:hint="eastAsia" w:ascii="宋体" w:hAnsi="宋体"/>
                <w:szCs w:val="21"/>
              </w:rPr>
              <w:t>工程进度保障措施</w:t>
            </w:r>
          </w:p>
        </w:tc>
        <w:tc>
          <w:tcPr>
            <w:tcW w:w="697" w:type="dxa"/>
            <w:vAlign w:val="center"/>
          </w:tcPr>
          <w:p>
            <w:pPr>
              <w:widowControl/>
              <w:jc w:val="center"/>
              <w:rPr>
                <w:rFonts w:hint="eastAsia" w:ascii="宋体" w:hAnsi="宋体" w:eastAsia="宋体" w:cs="Times New Roman"/>
                <w:b/>
                <w:color w:val="000000" w:themeColor="text1"/>
                <w:sz w:val="24"/>
                <w:lang w:eastAsia="zh-CN"/>
              </w:rPr>
            </w:pPr>
            <w:r>
              <w:rPr>
                <w:rFonts w:hint="eastAsia" w:ascii="宋体" w:hAnsi="宋体" w:eastAsia="宋体"/>
                <w:szCs w:val="21"/>
                <w:lang w:val="en-US" w:eastAsia="zh-CN"/>
              </w:rPr>
              <w:t>6</w:t>
            </w:r>
          </w:p>
        </w:tc>
        <w:tc>
          <w:tcPr>
            <w:tcW w:w="6008" w:type="dxa"/>
            <w:vAlign w:val="center"/>
          </w:tcPr>
          <w:p>
            <w:pPr>
              <w:widowControl/>
              <w:jc w:val="left"/>
              <w:rPr>
                <w:rFonts w:ascii="宋体" w:hAnsi="宋体" w:eastAsia="宋体" w:cs="Times New Roman"/>
                <w:color w:val="000000" w:themeColor="text1"/>
                <w:sz w:val="24"/>
              </w:rPr>
            </w:pPr>
            <w:r>
              <w:rPr>
                <w:rFonts w:hint="eastAsia" w:ascii="宋体" w:hAnsi="宋体" w:cs="宋体"/>
                <w:szCs w:val="21"/>
              </w:rPr>
              <w:t>供应商的工程进度</w:t>
            </w:r>
            <w:r>
              <w:rPr>
                <w:rFonts w:hint="eastAsia" w:ascii="宋体" w:hAnsi="宋体"/>
                <w:szCs w:val="21"/>
              </w:rPr>
              <w:t>保障措施</w:t>
            </w:r>
            <w:r>
              <w:rPr>
                <w:rFonts w:hint="eastAsia" w:ascii="宋体" w:hAnsi="宋体" w:cs="宋体"/>
                <w:szCs w:val="21"/>
              </w:rPr>
              <w:t>完善合理，且完全符合项目特点得</w:t>
            </w:r>
            <w:r>
              <w:rPr>
                <w:rFonts w:hint="eastAsia"/>
                <w:szCs w:val="21"/>
                <w:lang w:val="en-US" w:eastAsia="zh-CN"/>
              </w:rPr>
              <w:t>5-6</w:t>
            </w:r>
            <w:r>
              <w:rPr>
                <w:rFonts w:hint="eastAsia"/>
                <w:szCs w:val="21"/>
              </w:rPr>
              <w:t>分</w:t>
            </w:r>
            <w:r>
              <w:rPr>
                <w:rFonts w:hint="eastAsia" w:ascii="宋体" w:hAnsi="宋体" w:cs="宋体"/>
                <w:szCs w:val="21"/>
              </w:rPr>
              <w:t>；工程进度</w:t>
            </w:r>
            <w:r>
              <w:rPr>
                <w:rFonts w:hint="eastAsia" w:ascii="宋体" w:hAnsi="宋体"/>
                <w:szCs w:val="21"/>
              </w:rPr>
              <w:t>保障措施较</w:t>
            </w:r>
            <w:r>
              <w:rPr>
                <w:rFonts w:hint="eastAsia" w:ascii="宋体" w:hAnsi="宋体" w:cs="宋体"/>
                <w:szCs w:val="21"/>
              </w:rPr>
              <w:t>合理得</w:t>
            </w:r>
            <w:r>
              <w:rPr>
                <w:rFonts w:hint="eastAsia" w:ascii="宋体" w:hAnsi="宋体" w:cs="宋体"/>
                <w:szCs w:val="21"/>
                <w:lang w:val="en-US" w:eastAsia="zh-CN"/>
              </w:rPr>
              <w:t>3-4</w:t>
            </w:r>
            <w:r>
              <w:rPr>
                <w:rFonts w:hint="eastAsia"/>
                <w:szCs w:val="21"/>
              </w:rPr>
              <w:t>分；工程进度</w:t>
            </w:r>
            <w:r>
              <w:rPr>
                <w:rFonts w:hint="eastAsia" w:ascii="宋体" w:hAnsi="宋体"/>
                <w:szCs w:val="21"/>
              </w:rPr>
              <w:t>保障措施</w:t>
            </w:r>
            <w:r>
              <w:rPr>
                <w:rFonts w:hint="eastAsia"/>
                <w:szCs w:val="21"/>
              </w:rPr>
              <w:t>基本合理得</w:t>
            </w:r>
            <w:r>
              <w:rPr>
                <w:rFonts w:hint="eastAsia"/>
                <w:szCs w:val="21"/>
                <w:lang w:val="en-US" w:eastAsia="zh-CN"/>
              </w:rPr>
              <w:t>0-2</w:t>
            </w:r>
            <w:r>
              <w:rPr>
                <w:rFonts w:hint="eastAsia"/>
                <w:szCs w:val="21"/>
              </w:rPr>
              <w:t>分</w:t>
            </w:r>
            <w:r>
              <w:rPr>
                <w:rFonts w:hint="eastAsia" w:ascii="宋体" w:hAnsi="宋体" w:cs="宋体"/>
                <w:szCs w:val="21"/>
              </w:rPr>
              <w:t>。</w:t>
            </w:r>
          </w:p>
        </w:tc>
        <w:tc>
          <w:tcPr>
            <w:tcW w:w="1021" w:type="dxa"/>
            <w:vAlign w:val="center"/>
          </w:tcPr>
          <w:p>
            <w:pPr>
              <w:spacing w:line="360" w:lineRule="auto"/>
              <w:ind w:left="-65" w:leftChars="-31" w:right="-36" w:rightChars="-17"/>
              <w:jc w:val="right"/>
              <w:rPr>
                <w:rFonts w:ascii="宋体" w:hAnsi="宋体" w:eastAsia="宋体" w:cs="Times New Roman"/>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7" w:type="dxa"/>
            <w:vMerge w:val="continue"/>
            <w:vAlign w:val="center"/>
          </w:tcPr>
          <w:p>
            <w:pPr>
              <w:tabs>
                <w:tab w:val="left" w:pos="322"/>
              </w:tabs>
              <w:spacing w:line="360" w:lineRule="auto"/>
              <w:ind w:left="-42" w:right="-42" w:rightChars="-20"/>
              <w:jc w:val="right"/>
              <w:rPr>
                <w:rFonts w:ascii="宋体" w:hAnsi="宋体" w:eastAsia="宋体" w:cs="Times New Roman"/>
                <w:b/>
                <w:color w:val="000000" w:themeColor="text1"/>
                <w:sz w:val="24"/>
              </w:rPr>
            </w:pPr>
          </w:p>
        </w:tc>
        <w:tc>
          <w:tcPr>
            <w:tcW w:w="1129" w:type="dxa"/>
            <w:vAlign w:val="center"/>
          </w:tcPr>
          <w:p>
            <w:pPr>
              <w:widowControl/>
              <w:spacing w:line="300" w:lineRule="auto"/>
              <w:ind w:left="-105" w:leftChars="-50" w:right="-105" w:rightChars="-50"/>
              <w:jc w:val="center"/>
              <w:rPr>
                <w:rFonts w:ascii="宋体" w:hAnsi="宋体" w:eastAsia="宋体" w:cs="Times New Roman"/>
                <w:b/>
                <w:color w:val="000000" w:themeColor="text1"/>
                <w:sz w:val="24"/>
                <w:szCs w:val="24"/>
              </w:rPr>
            </w:pPr>
            <w:r>
              <w:rPr>
                <w:rFonts w:hint="eastAsia" w:ascii="宋体" w:hAnsi="宋体" w:eastAsia="宋体"/>
                <w:szCs w:val="21"/>
                <w:highlight w:val="none"/>
                <w:lang w:val="en-US" w:eastAsia="zh-CN"/>
              </w:rPr>
              <w:t>资源配备计划</w:t>
            </w:r>
          </w:p>
        </w:tc>
        <w:tc>
          <w:tcPr>
            <w:tcW w:w="697" w:type="dxa"/>
            <w:vAlign w:val="center"/>
          </w:tcPr>
          <w:p>
            <w:pPr>
              <w:spacing w:line="300" w:lineRule="auto"/>
              <w:ind w:left="-105" w:leftChars="-50" w:right="-105" w:rightChars="-50"/>
              <w:jc w:val="center"/>
              <w:rPr>
                <w:rFonts w:hint="eastAsia" w:ascii="宋体" w:hAnsi="宋体" w:eastAsia="宋体" w:cs="Times New Roman"/>
                <w:b/>
                <w:color w:val="000000" w:themeColor="text1"/>
                <w:sz w:val="24"/>
                <w:lang w:eastAsia="zh-CN"/>
              </w:rPr>
            </w:pPr>
            <w:r>
              <w:rPr>
                <w:rFonts w:hint="eastAsia" w:ascii="宋体" w:hAnsi="宋体" w:eastAsia="宋体"/>
                <w:szCs w:val="21"/>
                <w:lang w:val="en-US" w:eastAsia="zh-CN"/>
              </w:rPr>
              <w:t>6</w:t>
            </w:r>
          </w:p>
        </w:tc>
        <w:tc>
          <w:tcPr>
            <w:tcW w:w="6008" w:type="dxa"/>
          </w:tcPr>
          <w:p>
            <w:pPr>
              <w:jc w:val="left"/>
              <w:rPr>
                <w:rFonts w:ascii="宋体" w:hAnsi="宋体" w:eastAsia="宋体" w:cs="Times New Roman"/>
                <w:color w:val="000000" w:themeColor="text1"/>
                <w:sz w:val="24"/>
              </w:rPr>
            </w:pPr>
            <w:r>
              <w:rPr>
                <w:rFonts w:hint="eastAsia" w:ascii="宋体" w:hAnsi="宋体"/>
                <w:szCs w:val="21"/>
                <w:lang w:val="en-US" w:eastAsia="zh-CN"/>
              </w:rPr>
              <w:t>供应商的资金使用和主要材料用量的计算说明详细完善、思路清晰，</w:t>
            </w:r>
            <w:r>
              <w:rPr>
                <w:rFonts w:hint="default" w:ascii="宋体" w:hAnsi="宋体"/>
                <w:szCs w:val="21"/>
                <w:lang w:val="en-US" w:eastAsia="zh-CN"/>
              </w:rPr>
              <w:t>劳动力</w:t>
            </w:r>
            <w:r>
              <w:rPr>
                <w:rFonts w:hint="eastAsia" w:ascii="宋体" w:hAnsi="宋体"/>
                <w:szCs w:val="21"/>
                <w:lang w:val="en-US" w:eastAsia="zh-CN"/>
              </w:rPr>
              <w:t>与施工机械设备</w:t>
            </w:r>
            <w:r>
              <w:rPr>
                <w:rFonts w:hint="default" w:ascii="宋体" w:hAnsi="宋体"/>
                <w:szCs w:val="21"/>
                <w:lang w:val="en-US" w:eastAsia="zh-CN"/>
              </w:rPr>
              <w:t>安排计划科学合理</w:t>
            </w:r>
            <w:r>
              <w:rPr>
                <w:rFonts w:hint="eastAsia" w:ascii="宋体" w:hAnsi="宋体"/>
                <w:szCs w:val="21"/>
                <w:lang w:val="en-US" w:eastAsia="zh-CN"/>
              </w:rPr>
              <w:t>的得5-6分；资金使用和主要材料的计算说明基本详细，</w:t>
            </w:r>
            <w:r>
              <w:rPr>
                <w:rFonts w:hint="default" w:ascii="宋体" w:hAnsi="宋体"/>
                <w:szCs w:val="21"/>
                <w:lang w:val="en-US" w:eastAsia="zh-CN"/>
              </w:rPr>
              <w:t>劳动力</w:t>
            </w:r>
            <w:r>
              <w:rPr>
                <w:rFonts w:hint="eastAsia" w:ascii="宋体" w:hAnsi="宋体"/>
                <w:szCs w:val="21"/>
                <w:lang w:val="en-US" w:eastAsia="zh-CN"/>
              </w:rPr>
              <w:t>与施工机械设备</w:t>
            </w:r>
            <w:r>
              <w:rPr>
                <w:rFonts w:hint="default" w:ascii="宋体" w:hAnsi="宋体"/>
                <w:szCs w:val="21"/>
                <w:lang w:val="en-US" w:eastAsia="zh-CN"/>
              </w:rPr>
              <w:t>安排计划合理</w:t>
            </w:r>
            <w:r>
              <w:rPr>
                <w:rFonts w:hint="eastAsia" w:ascii="宋体" w:hAnsi="宋体"/>
                <w:szCs w:val="21"/>
                <w:lang w:val="en-US" w:eastAsia="zh-CN"/>
              </w:rPr>
              <w:t>的得3-4分；资金使用和主要材料用量的计算说明简单描述，</w:t>
            </w:r>
            <w:r>
              <w:rPr>
                <w:rFonts w:hint="default" w:ascii="宋体" w:hAnsi="宋体"/>
                <w:szCs w:val="21"/>
                <w:lang w:val="en-US" w:eastAsia="zh-CN"/>
              </w:rPr>
              <w:t>劳动力</w:t>
            </w:r>
            <w:r>
              <w:rPr>
                <w:rFonts w:hint="eastAsia" w:ascii="宋体" w:hAnsi="宋体"/>
                <w:szCs w:val="21"/>
                <w:lang w:val="en-US" w:eastAsia="zh-CN"/>
              </w:rPr>
              <w:t>与施工机械设备</w:t>
            </w:r>
            <w:r>
              <w:rPr>
                <w:rFonts w:hint="default" w:ascii="宋体" w:hAnsi="宋体"/>
                <w:szCs w:val="21"/>
                <w:lang w:val="en-US" w:eastAsia="zh-CN"/>
              </w:rPr>
              <w:t>安排计划</w:t>
            </w:r>
            <w:r>
              <w:rPr>
                <w:rFonts w:hint="eastAsia" w:ascii="宋体" w:hAnsi="宋体"/>
                <w:szCs w:val="21"/>
                <w:lang w:val="en-US" w:eastAsia="zh-CN"/>
              </w:rPr>
              <w:t>基本</w:t>
            </w:r>
            <w:r>
              <w:rPr>
                <w:rFonts w:hint="default" w:ascii="宋体" w:hAnsi="宋体"/>
                <w:szCs w:val="21"/>
                <w:lang w:val="en-US" w:eastAsia="zh-CN"/>
              </w:rPr>
              <w:t>合理</w:t>
            </w:r>
            <w:r>
              <w:rPr>
                <w:rFonts w:hint="eastAsia" w:ascii="宋体" w:hAnsi="宋体"/>
                <w:szCs w:val="21"/>
                <w:lang w:val="en-US" w:eastAsia="zh-CN"/>
              </w:rPr>
              <w:t>的得0-2分。</w:t>
            </w:r>
          </w:p>
        </w:tc>
        <w:tc>
          <w:tcPr>
            <w:tcW w:w="1021" w:type="dxa"/>
            <w:vAlign w:val="center"/>
          </w:tcPr>
          <w:p>
            <w:pPr>
              <w:spacing w:line="360" w:lineRule="auto"/>
              <w:ind w:left="-65" w:leftChars="-31" w:right="-36" w:rightChars="-17"/>
              <w:jc w:val="right"/>
              <w:rPr>
                <w:rFonts w:ascii="宋体" w:hAnsi="宋体" w:eastAsia="宋体" w:cs="Times New Roman"/>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7" w:type="dxa"/>
            <w:vMerge w:val="continue"/>
            <w:vAlign w:val="center"/>
          </w:tcPr>
          <w:p>
            <w:pPr>
              <w:tabs>
                <w:tab w:val="left" w:pos="322"/>
              </w:tabs>
              <w:spacing w:line="360" w:lineRule="auto"/>
              <w:ind w:left="-42" w:right="-42" w:rightChars="-20"/>
              <w:jc w:val="right"/>
              <w:rPr>
                <w:rFonts w:ascii="宋体" w:hAnsi="宋体" w:eastAsia="宋体" w:cs="Times New Roman"/>
                <w:b/>
                <w:color w:val="000000" w:themeColor="text1"/>
                <w:sz w:val="24"/>
              </w:rPr>
            </w:pPr>
          </w:p>
        </w:tc>
        <w:tc>
          <w:tcPr>
            <w:tcW w:w="1129" w:type="dxa"/>
            <w:vAlign w:val="center"/>
          </w:tcPr>
          <w:p>
            <w:pPr>
              <w:widowControl/>
              <w:spacing w:line="300" w:lineRule="auto"/>
              <w:ind w:left="-105" w:leftChars="-50" w:right="-105" w:rightChars="-50"/>
              <w:jc w:val="center"/>
              <w:rPr>
                <w:rFonts w:ascii="宋体" w:hAnsi="宋体" w:eastAsia="宋体" w:cs="Times New Roman"/>
                <w:b/>
                <w:color w:val="000000" w:themeColor="text1"/>
                <w:sz w:val="24"/>
                <w:szCs w:val="24"/>
                <w:highlight w:val="none"/>
              </w:rPr>
            </w:pPr>
            <w:r>
              <w:rPr>
                <w:rFonts w:hint="eastAsia" w:ascii="宋体" w:hAnsi="宋体"/>
                <w:szCs w:val="21"/>
                <w:highlight w:val="none"/>
              </w:rPr>
              <w:t>质量服务承诺</w:t>
            </w:r>
          </w:p>
        </w:tc>
        <w:tc>
          <w:tcPr>
            <w:tcW w:w="697" w:type="dxa"/>
            <w:vAlign w:val="center"/>
          </w:tcPr>
          <w:p>
            <w:pPr>
              <w:spacing w:line="300" w:lineRule="auto"/>
              <w:ind w:left="-105" w:leftChars="-50" w:right="-105" w:rightChars="-50"/>
              <w:rPr>
                <w:rFonts w:ascii="宋体" w:hAnsi="宋体" w:eastAsia="宋体" w:cs="Times New Roman"/>
                <w:b/>
                <w:color w:val="000000" w:themeColor="text1"/>
                <w:sz w:val="24"/>
                <w:highlight w:val="none"/>
              </w:rPr>
            </w:pPr>
            <w:r>
              <w:rPr>
                <w:rFonts w:hint="eastAsia" w:ascii="宋体" w:hAnsi="宋体"/>
                <w:szCs w:val="21"/>
                <w:highlight w:val="none"/>
              </w:rPr>
              <w:t xml:space="preserve">   2</w:t>
            </w:r>
          </w:p>
        </w:tc>
        <w:tc>
          <w:tcPr>
            <w:tcW w:w="6008" w:type="dxa"/>
            <w:vAlign w:val="center"/>
          </w:tcPr>
          <w:p>
            <w:pPr>
              <w:ind w:left="-105" w:leftChars="-50" w:right="-105" w:rightChars="-50"/>
              <w:rPr>
                <w:rFonts w:ascii="宋体" w:hAnsi="宋体" w:eastAsia="宋体" w:cs="Times New Roman"/>
                <w:color w:val="000000" w:themeColor="text1"/>
                <w:sz w:val="24"/>
                <w:highlight w:val="none"/>
              </w:rPr>
            </w:pPr>
            <w:r>
              <w:rPr>
                <w:rFonts w:hint="eastAsia" w:ascii="宋体" w:hAnsi="宋体"/>
                <w:szCs w:val="21"/>
                <w:highlight w:val="none"/>
              </w:rPr>
              <w:t>供应商有保证工程质量的承诺且有具体的经济处罚措施的得2分，没有得0分。</w:t>
            </w:r>
            <w:r>
              <w:rPr>
                <w:rFonts w:hint="eastAsia" w:ascii="宋体" w:hAnsi="宋体"/>
                <w:b/>
                <w:szCs w:val="21"/>
                <w:highlight w:val="none"/>
              </w:rPr>
              <w:t>（提供承诺书原件并加盖公章）</w:t>
            </w:r>
          </w:p>
        </w:tc>
        <w:tc>
          <w:tcPr>
            <w:tcW w:w="1021" w:type="dxa"/>
            <w:vAlign w:val="center"/>
          </w:tcPr>
          <w:p>
            <w:pPr>
              <w:spacing w:line="360" w:lineRule="auto"/>
              <w:ind w:left="-65" w:leftChars="-31" w:right="-36" w:rightChars="-17"/>
              <w:jc w:val="right"/>
              <w:rPr>
                <w:rFonts w:ascii="宋体" w:hAnsi="宋体" w:eastAsia="宋体" w:cs="Times New Roman"/>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53" w:type="dxa"/>
            <w:gridSpan w:val="3"/>
            <w:vAlign w:val="center"/>
          </w:tcPr>
          <w:p>
            <w:pPr>
              <w:spacing w:line="360" w:lineRule="auto"/>
              <w:ind w:left="-48" w:leftChars="-23" w:right="-36" w:rightChars="-17"/>
              <w:jc w:val="center"/>
              <w:rPr>
                <w:rFonts w:ascii="宋体" w:hAnsi="宋体" w:eastAsia="宋体" w:cs="Times New Roman"/>
                <w:b/>
                <w:color w:val="000000" w:themeColor="text1"/>
                <w:sz w:val="24"/>
              </w:rPr>
            </w:pPr>
            <w:r>
              <w:rPr>
                <w:rFonts w:hint="eastAsia" w:ascii="宋体" w:hAnsi="宋体" w:eastAsia="宋体" w:cs="Times New Roman"/>
                <w:b/>
                <w:color w:val="FF0000"/>
                <w:sz w:val="24"/>
              </w:rPr>
              <w:t>技术分合计</w:t>
            </w:r>
          </w:p>
        </w:tc>
        <w:tc>
          <w:tcPr>
            <w:tcW w:w="7029" w:type="dxa"/>
            <w:gridSpan w:val="2"/>
            <w:vAlign w:val="center"/>
          </w:tcPr>
          <w:p>
            <w:pPr>
              <w:spacing w:line="360" w:lineRule="auto"/>
              <w:ind w:left="-65" w:leftChars="-31" w:right="-36" w:rightChars="-17"/>
              <w:jc w:val="center"/>
              <w:rPr>
                <w:rFonts w:ascii="宋体" w:hAnsi="宋体" w:eastAsia="宋体" w:cs="Times New Roman"/>
                <w:b/>
                <w:color w:val="000000" w:themeColor="text1"/>
                <w:szCs w:val="21"/>
              </w:rPr>
            </w:pPr>
            <w:r>
              <w:rPr>
                <w:rFonts w:hint="eastAsia" w:ascii="宋体" w:hAnsi="宋体" w:eastAsia="宋体" w:cs="Times New Roman"/>
                <w:b/>
                <w:color w:val="000000" w:themeColor="text1"/>
                <w:szCs w:val="21"/>
                <w:lang w:val="en-US" w:eastAsia="zh-CN"/>
              </w:rPr>
              <w:t>55</w:t>
            </w:r>
            <w:r>
              <w:rPr>
                <w:rFonts w:hint="eastAsia" w:ascii="宋体" w:hAnsi="宋体" w:eastAsia="宋体" w:cs="Times New Roman"/>
                <w:b/>
                <w:color w:val="000000" w:themeColor="text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856" w:type="dxa"/>
            <w:gridSpan w:val="2"/>
            <w:vAlign w:val="center"/>
          </w:tcPr>
          <w:p>
            <w:pPr>
              <w:spacing w:line="360" w:lineRule="auto"/>
              <w:jc w:val="center"/>
            </w:pPr>
            <w:r>
              <w:rPr>
                <w:rFonts w:hint="eastAsia" w:ascii="宋体" w:hAnsi="宋体" w:eastAsia="宋体" w:cs="Times New Roman"/>
                <w:b/>
                <w:bCs/>
                <w:color w:val="000000" w:themeColor="text1"/>
                <w:sz w:val="28"/>
                <w:szCs w:val="28"/>
              </w:rPr>
              <w:t>价格评议</w:t>
            </w:r>
          </w:p>
        </w:tc>
        <w:tc>
          <w:tcPr>
            <w:tcW w:w="697" w:type="dxa"/>
            <w:vAlign w:val="center"/>
          </w:tcPr>
          <w:p>
            <w:pPr>
              <w:spacing w:line="360" w:lineRule="auto"/>
              <w:jc w:val="center"/>
            </w:pPr>
            <w:r>
              <w:rPr>
                <w:rFonts w:hint="eastAsia"/>
              </w:rPr>
              <w:t>30分</w:t>
            </w:r>
          </w:p>
        </w:tc>
        <w:tc>
          <w:tcPr>
            <w:tcW w:w="7029" w:type="dxa"/>
            <w:gridSpan w:val="2"/>
          </w:tcPr>
          <w:p>
            <w:pPr>
              <w:spacing w:line="240" w:lineRule="auto"/>
            </w:pPr>
            <w:r>
              <w:rPr>
                <w:rFonts w:hint="eastAsia"/>
              </w:rPr>
              <w:t>磋商小组只对符合性审查合格的磋商响应文件进行价格评议，报价分采用低价优先法计算，即满足磋商文件要求且价格最低的报价为评标基准价，其价格分为满分。其他供应商的价格分按照下列公式计算：报价得分=(评标基准价／供应商报价)×30。计算时保留两位小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53" w:type="dxa"/>
            <w:gridSpan w:val="3"/>
            <w:vAlign w:val="center"/>
          </w:tcPr>
          <w:p>
            <w:pPr>
              <w:spacing w:line="360" w:lineRule="auto"/>
              <w:ind w:left="-48" w:leftChars="-23" w:right="-36" w:rightChars="-17"/>
              <w:jc w:val="center"/>
              <w:rPr>
                <w:rFonts w:ascii="宋体" w:hAnsi="宋体" w:eastAsia="宋体" w:cs="Times New Roman"/>
                <w:b/>
                <w:color w:val="000000" w:themeColor="text1"/>
                <w:sz w:val="24"/>
              </w:rPr>
            </w:pPr>
            <w:r>
              <w:rPr>
                <w:rFonts w:hint="eastAsia" w:ascii="宋体" w:hAnsi="宋体" w:eastAsia="宋体" w:cs="Times New Roman"/>
                <w:b/>
                <w:color w:val="FF0000"/>
                <w:kern w:val="0"/>
                <w:sz w:val="24"/>
                <w:szCs w:val="24"/>
              </w:rPr>
              <w:t>报价分合计</w:t>
            </w:r>
          </w:p>
        </w:tc>
        <w:tc>
          <w:tcPr>
            <w:tcW w:w="7029" w:type="dxa"/>
            <w:gridSpan w:val="2"/>
            <w:vAlign w:val="center"/>
          </w:tcPr>
          <w:p>
            <w:pPr>
              <w:spacing w:line="360" w:lineRule="auto"/>
              <w:ind w:left="-65" w:leftChars="-31" w:right="-36" w:rightChars="-17"/>
              <w:jc w:val="center"/>
              <w:rPr>
                <w:rFonts w:ascii="宋体" w:hAnsi="宋体" w:eastAsia="宋体" w:cs="Times New Roman"/>
                <w:b/>
                <w:color w:val="000000" w:themeColor="text1"/>
                <w:szCs w:val="21"/>
              </w:rPr>
            </w:pPr>
            <w:r>
              <w:rPr>
                <w:rFonts w:hint="eastAsia" w:ascii="宋体" w:hAnsi="宋体" w:eastAsia="宋体" w:cs="Times New Roman"/>
                <w:b/>
                <w:color w:val="000000" w:themeColor="text1"/>
                <w:szCs w:val="21"/>
              </w:rPr>
              <w:t>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53" w:type="dxa"/>
            <w:gridSpan w:val="3"/>
            <w:vAlign w:val="center"/>
          </w:tcPr>
          <w:p>
            <w:pPr>
              <w:spacing w:line="360" w:lineRule="auto"/>
              <w:ind w:left="-48" w:leftChars="-23" w:right="-36" w:rightChars="-17"/>
              <w:jc w:val="center"/>
              <w:rPr>
                <w:rFonts w:ascii="宋体" w:hAnsi="宋体" w:eastAsia="宋体" w:cs="Times New Roman"/>
                <w:b/>
                <w:color w:val="FF0000"/>
                <w:sz w:val="24"/>
              </w:rPr>
            </w:pPr>
            <w:r>
              <w:rPr>
                <w:rFonts w:hint="eastAsia" w:ascii="宋体" w:hAnsi="宋体" w:eastAsia="宋体" w:cs="Times New Roman"/>
                <w:b/>
                <w:color w:val="FF0000"/>
                <w:kern w:val="0"/>
                <w:sz w:val="24"/>
                <w:szCs w:val="24"/>
              </w:rPr>
              <w:t>得分总计</w:t>
            </w:r>
          </w:p>
        </w:tc>
        <w:tc>
          <w:tcPr>
            <w:tcW w:w="7029" w:type="dxa"/>
            <w:gridSpan w:val="2"/>
            <w:vAlign w:val="center"/>
          </w:tcPr>
          <w:p>
            <w:pPr>
              <w:spacing w:line="360" w:lineRule="auto"/>
              <w:ind w:left="-65" w:leftChars="-31" w:right="-36" w:rightChars="-17"/>
              <w:jc w:val="center"/>
              <w:rPr>
                <w:rFonts w:ascii="宋体" w:hAnsi="宋体" w:eastAsia="宋体" w:cs="Times New Roman"/>
                <w:b/>
                <w:color w:val="000000" w:themeColor="text1"/>
                <w:szCs w:val="21"/>
              </w:rPr>
            </w:pPr>
            <w:r>
              <w:rPr>
                <w:rFonts w:hint="eastAsia" w:ascii="宋体" w:hAnsi="宋体" w:eastAsia="宋体" w:cs="Times New Roman"/>
                <w:b/>
                <w:color w:val="000000" w:themeColor="text1"/>
                <w:szCs w:val="21"/>
              </w:rPr>
              <w:t>100分</w:t>
            </w:r>
          </w:p>
        </w:tc>
      </w:tr>
    </w:tbl>
    <w:p/>
    <w:p>
      <w:pPr>
        <w:spacing w:line="360" w:lineRule="auto"/>
        <w:rPr>
          <w:sz w:val="24"/>
          <w:szCs w:val="24"/>
        </w:rPr>
      </w:pPr>
      <w:r>
        <w:rPr>
          <w:sz w:val="24"/>
          <w:szCs w:val="24"/>
        </w:rPr>
        <w:br w:type="page"/>
      </w:r>
    </w:p>
    <w:p>
      <w:pPr>
        <w:jc w:val="center"/>
        <w:rPr>
          <w:sz w:val="32"/>
          <w:szCs w:val="32"/>
        </w:rPr>
      </w:pPr>
      <w:r>
        <w:rPr>
          <w:rFonts w:hint="eastAsia"/>
          <w:sz w:val="32"/>
          <w:szCs w:val="32"/>
        </w:rPr>
        <w:t>供应商报名表</w:t>
      </w:r>
    </w:p>
    <w:p>
      <w:pPr>
        <w:rPr>
          <w:sz w:val="21"/>
          <w:szCs w:val="21"/>
        </w:rPr>
      </w:pPr>
      <w:r>
        <w:rPr>
          <w:rFonts w:hint="eastAsia"/>
          <w:sz w:val="21"/>
          <w:szCs w:val="21"/>
        </w:rPr>
        <w:t>项目编号：</w:t>
      </w:r>
      <w:r>
        <w:rPr>
          <w:sz w:val="21"/>
          <w:szCs w:val="21"/>
          <w:u w:val="single"/>
        </w:rPr>
        <w:t xml:space="preserve">                </w:t>
      </w:r>
    </w:p>
    <w:p>
      <w:pPr>
        <w:rPr>
          <w:sz w:val="21"/>
          <w:szCs w:val="21"/>
        </w:rPr>
      </w:pPr>
      <w:r>
        <w:rPr>
          <w:rFonts w:hint="eastAsia"/>
          <w:sz w:val="21"/>
          <w:szCs w:val="21"/>
        </w:rPr>
        <w:t>项目名称：</w:t>
      </w:r>
      <w:r>
        <w:rPr>
          <w:sz w:val="21"/>
          <w:szCs w:val="21"/>
        </w:rPr>
        <w:t xml:space="preserve">  </w:t>
      </w:r>
      <w:r>
        <w:rPr>
          <w:sz w:val="21"/>
          <w:szCs w:val="21"/>
          <w:u w:val="single"/>
        </w:rPr>
        <w:t xml:space="preserve">                </w:t>
      </w:r>
      <w:r>
        <w:rPr>
          <w:sz w:val="21"/>
          <w:szCs w:val="21"/>
        </w:rPr>
        <w:t xml:space="preserve">                       </w:t>
      </w:r>
    </w:p>
    <w:tbl>
      <w:tblPr>
        <w:tblStyle w:val="1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4"/>
        <w:gridCol w:w="6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2234" w:type="dxa"/>
            <w:vAlign w:val="center"/>
          </w:tcPr>
          <w:p>
            <w:pPr>
              <w:widowControl/>
              <w:spacing w:before="100" w:beforeAutospacing="1" w:after="100" w:afterAutospacing="1"/>
              <w:jc w:val="left"/>
              <w:rPr>
                <w:rFonts w:ascii="宋体" w:cs="宋体"/>
                <w:kern w:val="0"/>
                <w:sz w:val="21"/>
                <w:szCs w:val="21"/>
              </w:rPr>
            </w:pPr>
            <w:r>
              <w:rPr>
                <w:rFonts w:hint="eastAsia" w:ascii="宋体" w:hAnsi="宋体" w:cs="宋体"/>
                <w:kern w:val="0"/>
                <w:sz w:val="21"/>
                <w:szCs w:val="21"/>
              </w:rPr>
              <w:t>供应商名称（盖章）</w:t>
            </w:r>
          </w:p>
        </w:tc>
        <w:tc>
          <w:tcPr>
            <w:tcW w:w="6288" w:type="dxa"/>
            <w:vAlign w:val="center"/>
          </w:tcPr>
          <w:p>
            <w:pPr>
              <w:widowControl/>
              <w:spacing w:before="100" w:beforeAutospacing="1" w:after="100" w:afterAutospacing="1"/>
              <w:jc w:val="left"/>
              <w:rPr>
                <w:rFonts w:ascii="宋体" w:cs="宋体"/>
                <w:kern w:val="0"/>
                <w:sz w:val="21"/>
                <w:szCs w:val="21"/>
              </w:rPr>
            </w:pPr>
            <w:r>
              <w:rPr>
                <w:rFonts w:ascii="宋体" w:cs="宋体"/>
                <w:kern w:val="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2234" w:type="dxa"/>
            <w:vAlign w:val="center"/>
          </w:tcPr>
          <w:p>
            <w:pPr>
              <w:widowControl/>
              <w:spacing w:before="100" w:beforeAutospacing="1" w:after="100" w:afterAutospacing="1"/>
              <w:jc w:val="left"/>
              <w:rPr>
                <w:rFonts w:ascii="宋体" w:cs="宋体"/>
                <w:kern w:val="0"/>
                <w:sz w:val="21"/>
                <w:szCs w:val="21"/>
              </w:rPr>
            </w:pPr>
            <w:r>
              <w:rPr>
                <w:rFonts w:hint="eastAsia" w:ascii="宋体" w:hAnsi="宋体" w:cs="宋体"/>
                <w:kern w:val="0"/>
                <w:sz w:val="21"/>
                <w:szCs w:val="21"/>
              </w:rPr>
              <w:t>联系人姓名</w:t>
            </w:r>
          </w:p>
        </w:tc>
        <w:tc>
          <w:tcPr>
            <w:tcW w:w="6288" w:type="dxa"/>
            <w:vAlign w:val="center"/>
          </w:tcPr>
          <w:p>
            <w:pPr>
              <w:widowControl/>
              <w:spacing w:before="100" w:beforeAutospacing="1" w:after="100" w:afterAutospacing="1"/>
              <w:jc w:val="left"/>
              <w:rPr>
                <w:rFonts w:ascii="宋体" w:cs="宋体"/>
                <w:kern w:val="0"/>
                <w:sz w:val="21"/>
                <w:szCs w:val="21"/>
              </w:rPr>
            </w:pPr>
            <w:r>
              <w:rPr>
                <w:rFonts w:ascii="宋体" w:cs="宋体"/>
                <w:kern w:val="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2234" w:type="dxa"/>
            <w:vAlign w:val="center"/>
          </w:tcPr>
          <w:p>
            <w:pPr>
              <w:widowControl/>
              <w:spacing w:before="100" w:beforeAutospacing="1" w:after="100" w:afterAutospacing="1"/>
              <w:jc w:val="left"/>
              <w:rPr>
                <w:rFonts w:ascii="宋体" w:cs="宋体"/>
                <w:kern w:val="0"/>
                <w:sz w:val="21"/>
                <w:szCs w:val="21"/>
              </w:rPr>
            </w:pPr>
            <w:r>
              <w:rPr>
                <w:rFonts w:hint="eastAsia" w:ascii="宋体" w:hAnsi="宋体" w:cs="宋体"/>
                <w:kern w:val="0"/>
                <w:sz w:val="21"/>
                <w:szCs w:val="21"/>
              </w:rPr>
              <w:t>联系人电话（办公电话和手机）</w:t>
            </w:r>
          </w:p>
        </w:tc>
        <w:tc>
          <w:tcPr>
            <w:tcW w:w="6288" w:type="dxa"/>
            <w:vAlign w:val="center"/>
          </w:tcPr>
          <w:p>
            <w:pPr>
              <w:widowControl/>
              <w:spacing w:before="100" w:beforeAutospacing="1" w:after="100" w:afterAutospacing="1"/>
              <w:jc w:val="left"/>
              <w:rPr>
                <w:rFonts w:ascii="宋体" w:cs="宋体"/>
                <w:kern w:val="0"/>
                <w:sz w:val="21"/>
                <w:szCs w:val="21"/>
              </w:rPr>
            </w:pPr>
            <w:r>
              <w:rPr>
                <w:rFonts w:ascii="宋体" w:cs="宋体"/>
                <w:kern w:val="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2234" w:type="dxa"/>
            <w:vAlign w:val="center"/>
          </w:tcPr>
          <w:p>
            <w:pPr>
              <w:widowControl/>
              <w:spacing w:before="100" w:beforeAutospacing="1" w:after="100" w:afterAutospacing="1"/>
              <w:jc w:val="left"/>
              <w:rPr>
                <w:rFonts w:ascii="宋体" w:cs="宋体"/>
                <w:kern w:val="0"/>
                <w:sz w:val="21"/>
                <w:szCs w:val="21"/>
              </w:rPr>
            </w:pPr>
            <w:r>
              <w:rPr>
                <w:rFonts w:hint="eastAsia" w:ascii="宋体" w:hAnsi="宋体" w:cs="宋体"/>
                <w:kern w:val="0"/>
                <w:sz w:val="21"/>
                <w:szCs w:val="21"/>
              </w:rPr>
              <w:t>联系人邮箱</w:t>
            </w:r>
          </w:p>
        </w:tc>
        <w:tc>
          <w:tcPr>
            <w:tcW w:w="6288" w:type="dxa"/>
            <w:vAlign w:val="center"/>
          </w:tcPr>
          <w:p>
            <w:pPr>
              <w:widowControl/>
              <w:spacing w:before="100" w:beforeAutospacing="1" w:after="100" w:afterAutospacing="1"/>
              <w:jc w:val="left"/>
              <w:rPr>
                <w:rFonts w:ascii="宋体" w:cs="宋体"/>
                <w:kern w:val="0"/>
                <w:sz w:val="21"/>
                <w:szCs w:val="21"/>
              </w:rPr>
            </w:pPr>
            <w:r>
              <w:rPr>
                <w:rFonts w:ascii="宋体" w:cs="宋体"/>
                <w:kern w:val="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2234" w:type="dxa"/>
            <w:vMerge w:val="restart"/>
            <w:vAlign w:val="center"/>
          </w:tcPr>
          <w:p>
            <w:pPr>
              <w:widowControl/>
              <w:spacing w:before="100" w:beforeAutospacing="1" w:after="100" w:afterAutospacing="1"/>
              <w:jc w:val="left"/>
              <w:rPr>
                <w:rFonts w:ascii="宋体" w:cs="宋体"/>
                <w:kern w:val="0"/>
                <w:sz w:val="21"/>
                <w:szCs w:val="21"/>
              </w:rPr>
            </w:pPr>
            <w:r>
              <w:rPr>
                <w:rFonts w:hint="eastAsia" w:ascii="宋体" w:hAnsi="宋体" w:cs="宋体"/>
                <w:kern w:val="0"/>
                <w:sz w:val="21"/>
                <w:szCs w:val="21"/>
              </w:rPr>
              <w:t>供应商提供的</w:t>
            </w:r>
          </w:p>
          <w:p>
            <w:pPr>
              <w:widowControl/>
              <w:spacing w:before="100" w:beforeAutospacing="1" w:after="100" w:afterAutospacing="1"/>
              <w:jc w:val="left"/>
              <w:rPr>
                <w:rFonts w:ascii="宋体" w:cs="宋体"/>
                <w:kern w:val="0"/>
                <w:sz w:val="21"/>
                <w:szCs w:val="21"/>
              </w:rPr>
            </w:pPr>
            <w:r>
              <w:rPr>
                <w:rFonts w:hint="eastAsia" w:ascii="宋体" w:hAnsi="宋体" w:cs="宋体"/>
                <w:kern w:val="0"/>
                <w:sz w:val="21"/>
                <w:szCs w:val="21"/>
              </w:rPr>
              <w:t>报名资料</w:t>
            </w:r>
          </w:p>
        </w:tc>
        <w:tc>
          <w:tcPr>
            <w:tcW w:w="6288" w:type="dxa"/>
          </w:tcPr>
          <w:p>
            <w:pPr>
              <w:rPr>
                <w:sz w:val="21"/>
                <w:szCs w:val="21"/>
              </w:rPr>
            </w:pPr>
            <w:r>
              <w:rPr>
                <w:sz w:val="21"/>
                <w:szCs w:val="21"/>
              </w:rPr>
              <w:t>1.</w:t>
            </w:r>
            <w:r>
              <w:rPr>
                <w:rFonts w:hint="eastAsia"/>
                <w:sz w:val="21"/>
                <w:szCs w:val="21"/>
              </w:rPr>
              <w:t>法人或者其他组织的营业执照等证明文件，如供应商是自然人的提供身份证明材料。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2234" w:type="dxa"/>
            <w:vMerge w:val="continue"/>
            <w:vAlign w:val="center"/>
          </w:tcPr>
          <w:p>
            <w:pPr>
              <w:widowControl/>
              <w:jc w:val="left"/>
              <w:rPr>
                <w:rFonts w:ascii="宋体" w:cs="宋体"/>
                <w:kern w:val="0"/>
                <w:sz w:val="21"/>
                <w:szCs w:val="21"/>
              </w:rPr>
            </w:pPr>
          </w:p>
        </w:tc>
        <w:tc>
          <w:tcPr>
            <w:tcW w:w="6288" w:type="dxa"/>
          </w:tcPr>
          <w:p>
            <w:pPr>
              <w:rPr>
                <w:sz w:val="21"/>
                <w:szCs w:val="21"/>
              </w:rPr>
            </w:pPr>
            <w:r>
              <w:rPr>
                <w:sz w:val="21"/>
                <w:szCs w:val="21"/>
              </w:rPr>
              <w:t>2.</w:t>
            </w:r>
            <w:r>
              <w:rPr>
                <w:rFonts w:hint="eastAsia"/>
                <w:sz w:val="21"/>
                <w:szCs w:val="21"/>
              </w:rPr>
              <w:t>财务状况报告，依法缴纳税收和社会保障资金的相关材料。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2234" w:type="dxa"/>
            <w:vMerge w:val="continue"/>
            <w:vAlign w:val="center"/>
          </w:tcPr>
          <w:p>
            <w:pPr>
              <w:widowControl/>
              <w:jc w:val="left"/>
              <w:rPr>
                <w:rFonts w:ascii="宋体" w:cs="宋体"/>
                <w:kern w:val="0"/>
                <w:sz w:val="21"/>
                <w:szCs w:val="21"/>
              </w:rPr>
            </w:pPr>
          </w:p>
        </w:tc>
        <w:tc>
          <w:tcPr>
            <w:tcW w:w="6288" w:type="dxa"/>
          </w:tcPr>
          <w:p>
            <w:pPr>
              <w:rPr>
                <w:sz w:val="21"/>
                <w:szCs w:val="21"/>
              </w:rPr>
            </w:pPr>
            <w:r>
              <w:rPr>
                <w:sz w:val="21"/>
                <w:szCs w:val="21"/>
              </w:rPr>
              <w:t>3.</w:t>
            </w:r>
            <w:r>
              <w:rPr>
                <w:rFonts w:hint="eastAsia"/>
                <w:sz w:val="21"/>
                <w:szCs w:val="21"/>
              </w:rPr>
              <w:t>具备履行合同所必需的设备和专业技术能力的证明材料。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2234" w:type="dxa"/>
            <w:vMerge w:val="continue"/>
            <w:vAlign w:val="center"/>
          </w:tcPr>
          <w:p>
            <w:pPr>
              <w:widowControl/>
              <w:jc w:val="left"/>
              <w:rPr>
                <w:rFonts w:ascii="宋体" w:cs="宋体"/>
                <w:kern w:val="0"/>
                <w:sz w:val="21"/>
                <w:szCs w:val="21"/>
              </w:rPr>
            </w:pPr>
          </w:p>
        </w:tc>
        <w:tc>
          <w:tcPr>
            <w:tcW w:w="6288" w:type="dxa"/>
          </w:tcPr>
          <w:p>
            <w:pPr>
              <w:rPr>
                <w:sz w:val="21"/>
                <w:szCs w:val="21"/>
              </w:rPr>
            </w:pPr>
            <w:r>
              <w:rPr>
                <w:sz w:val="21"/>
                <w:szCs w:val="21"/>
              </w:rPr>
              <w:t>4.</w:t>
            </w:r>
            <w:r>
              <w:rPr>
                <w:rFonts w:hint="eastAsia"/>
                <w:sz w:val="21"/>
                <w:szCs w:val="21"/>
              </w:rPr>
              <w:t>参加政府采购活动前</w:t>
            </w:r>
            <w:r>
              <w:rPr>
                <w:sz w:val="21"/>
                <w:szCs w:val="21"/>
              </w:rPr>
              <w:t>3</w:t>
            </w:r>
            <w:r>
              <w:rPr>
                <w:rFonts w:hint="eastAsia"/>
                <w:sz w:val="21"/>
                <w:szCs w:val="21"/>
              </w:rPr>
              <w:t>年内在经营活动中没有重大违法记录的书面声明。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2234" w:type="dxa"/>
            <w:vMerge w:val="continue"/>
            <w:vAlign w:val="center"/>
          </w:tcPr>
          <w:p>
            <w:pPr>
              <w:widowControl/>
              <w:jc w:val="left"/>
              <w:rPr>
                <w:rFonts w:ascii="宋体" w:cs="宋体"/>
                <w:kern w:val="0"/>
                <w:sz w:val="21"/>
                <w:szCs w:val="21"/>
              </w:rPr>
            </w:pPr>
          </w:p>
        </w:tc>
        <w:tc>
          <w:tcPr>
            <w:tcW w:w="6288" w:type="dxa"/>
          </w:tcPr>
          <w:p>
            <w:pPr>
              <w:rPr>
                <w:sz w:val="21"/>
                <w:szCs w:val="21"/>
              </w:rPr>
            </w:pPr>
            <w:r>
              <w:rPr>
                <w:sz w:val="21"/>
                <w:szCs w:val="21"/>
              </w:rPr>
              <w:t>5.</w:t>
            </w:r>
            <w:r>
              <w:rPr>
                <w:rFonts w:hint="eastAsia"/>
                <w:sz w:val="21"/>
                <w:szCs w:val="21"/>
              </w:rPr>
              <w:t>具备法律、行政法规规定的其他条件的证明材料。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trPr>
        <w:tc>
          <w:tcPr>
            <w:tcW w:w="2234" w:type="dxa"/>
            <w:vMerge w:val="continue"/>
            <w:vAlign w:val="center"/>
          </w:tcPr>
          <w:p>
            <w:pPr>
              <w:widowControl/>
              <w:jc w:val="left"/>
              <w:rPr>
                <w:rFonts w:ascii="宋体" w:cs="宋体"/>
                <w:kern w:val="0"/>
                <w:sz w:val="21"/>
                <w:szCs w:val="21"/>
              </w:rPr>
            </w:pPr>
          </w:p>
        </w:tc>
        <w:tc>
          <w:tcPr>
            <w:tcW w:w="6288" w:type="dxa"/>
          </w:tcPr>
          <w:p>
            <w:pPr>
              <w:rPr>
                <w:sz w:val="21"/>
                <w:szCs w:val="21"/>
              </w:rPr>
            </w:pPr>
            <w:r>
              <w:rPr>
                <w:sz w:val="21"/>
                <w:szCs w:val="21"/>
              </w:rPr>
              <w:t>6.</w:t>
            </w:r>
            <w:r>
              <w:rPr>
                <w:rFonts w:hint="eastAsia"/>
                <w:sz w:val="21"/>
                <w:szCs w:val="21"/>
              </w:rPr>
              <w:t>未被列入</w:t>
            </w:r>
            <w:r>
              <w:rPr>
                <w:sz w:val="21"/>
                <w:szCs w:val="21"/>
              </w:rPr>
              <w:t xml:space="preserve"> </w:t>
            </w:r>
            <w:r>
              <w:rPr>
                <w:rFonts w:hint="eastAsia"/>
                <w:sz w:val="21"/>
                <w:szCs w:val="21"/>
              </w:rPr>
              <w:t>“信用中国”网站（</w:t>
            </w:r>
            <w:r>
              <w:rPr>
                <w:sz w:val="21"/>
                <w:szCs w:val="21"/>
              </w:rPr>
              <w:t>www.creditchina.gov.cn</w:t>
            </w:r>
            <w:r>
              <w:rPr>
                <w:rFonts w:hint="eastAsia"/>
                <w:sz w:val="21"/>
                <w:szCs w:val="21"/>
              </w:rPr>
              <w:t>）失信被执行人、重大税收违法案件当事人名单</w:t>
            </w:r>
            <w:r>
              <w:rPr>
                <w:rFonts w:hint="eastAsia" w:ascii="宋体" w:hAnsi="宋体"/>
                <w:color w:val="000000" w:themeColor="text1"/>
                <w:sz w:val="21"/>
                <w:szCs w:val="21"/>
              </w:rPr>
              <w:t>和“中国政府采购”网站（</w:t>
            </w:r>
            <w:r>
              <w:rPr>
                <w:rFonts w:ascii="宋体" w:hAnsi="宋体"/>
                <w:color w:val="000000" w:themeColor="text1"/>
                <w:sz w:val="21"/>
                <w:szCs w:val="21"/>
              </w:rPr>
              <w:t>www.ccgp.gov.cn</w:t>
            </w:r>
            <w:r>
              <w:rPr>
                <w:rFonts w:hint="eastAsia" w:ascii="宋体" w:hAnsi="宋体"/>
                <w:color w:val="000000" w:themeColor="text1"/>
                <w:sz w:val="21"/>
                <w:szCs w:val="21"/>
              </w:rPr>
              <w:t>）政府采购严重违法失信行为记录名单</w:t>
            </w:r>
            <w:r>
              <w:rPr>
                <w:rFonts w:hint="eastAsia"/>
                <w:sz w:val="21"/>
                <w:szCs w:val="21"/>
              </w:rPr>
              <w:t>的网页打印件。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2234" w:type="dxa"/>
            <w:vMerge w:val="continue"/>
            <w:vAlign w:val="center"/>
          </w:tcPr>
          <w:p>
            <w:pPr>
              <w:widowControl/>
              <w:jc w:val="left"/>
              <w:rPr>
                <w:rFonts w:ascii="宋体" w:cs="宋体"/>
                <w:kern w:val="0"/>
                <w:sz w:val="21"/>
                <w:szCs w:val="21"/>
              </w:rPr>
            </w:pPr>
          </w:p>
        </w:tc>
        <w:tc>
          <w:tcPr>
            <w:tcW w:w="6288" w:type="dxa"/>
          </w:tcPr>
          <w:p>
            <w:pPr>
              <w:rPr>
                <w:rFonts w:hint="default" w:eastAsia="宋体"/>
                <w:sz w:val="21"/>
                <w:szCs w:val="21"/>
                <w:lang w:val="en-US" w:eastAsia="zh-CN"/>
              </w:rPr>
            </w:pPr>
            <w:r>
              <w:rPr>
                <w:rFonts w:hint="eastAsia"/>
                <w:sz w:val="21"/>
                <w:szCs w:val="21"/>
                <w:lang w:val="en-US" w:eastAsia="zh-CN"/>
              </w:rPr>
              <w:t>7.中小企业声明函。</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2" w:hRule="atLeast"/>
        </w:trPr>
        <w:tc>
          <w:tcPr>
            <w:tcW w:w="2234" w:type="dxa"/>
            <w:vMerge w:val="continue"/>
            <w:vAlign w:val="center"/>
          </w:tcPr>
          <w:p>
            <w:pPr>
              <w:widowControl/>
              <w:jc w:val="left"/>
              <w:rPr>
                <w:rFonts w:ascii="宋体" w:cs="宋体"/>
                <w:kern w:val="0"/>
                <w:sz w:val="21"/>
                <w:szCs w:val="21"/>
              </w:rPr>
            </w:pPr>
          </w:p>
        </w:tc>
        <w:tc>
          <w:tcPr>
            <w:tcW w:w="6288" w:type="dxa"/>
          </w:tcPr>
          <w:p>
            <w:pPr>
              <w:numPr>
                <w:ilvl w:val="0"/>
                <w:numId w:val="0"/>
              </w:numPr>
              <w:ind w:leftChars="0"/>
              <w:rPr>
                <w:rFonts w:hint="eastAsia"/>
                <w:sz w:val="21"/>
                <w:szCs w:val="21"/>
              </w:rPr>
            </w:pPr>
            <w:r>
              <w:rPr>
                <w:rFonts w:hint="eastAsia"/>
                <w:sz w:val="21"/>
                <w:szCs w:val="21"/>
                <w:lang w:val="en-US" w:eastAsia="zh-CN"/>
              </w:rPr>
              <w:t>8.</w:t>
            </w:r>
            <w:r>
              <w:rPr>
                <w:rFonts w:hint="eastAsia"/>
                <w:sz w:val="21"/>
                <w:szCs w:val="21"/>
              </w:rPr>
              <w:t>特定条件：</w:t>
            </w:r>
          </w:p>
          <w:p>
            <w:pPr>
              <w:numPr>
                <w:ilvl w:val="0"/>
                <w:numId w:val="0"/>
              </w:numPr>
              <w:ind w:leftChars="0"/>
              <w:rPr>
                <w:rFonts w:hint="eastAsia" w:eastAsia="宋体"/>
                <w:sz w:val="21"/>
                <w:szCs w:val="21"/>
                <w:lang w:val="en-US" w:eastAsia="zh-CN"/>
              </w:rPr>
            </w:pPr>
            <w:r>
              <w:rPr>
                <w:rFonts w:hint="eastAsia" w:eastAsia="宋体"/>
                <w:sz w:val="21"/>
                <w:szCs w:val="21"/>
                <w:lang w:val="en-US" w:eastAsia="zh-CN"/>
              </w:rPr>
              <w:t>（1）建设行政主管部门核发的水利水电工程施工总承包叁级及以上资质，并具备有效的安全生产许可证；</w:t>
            </w:r>
          </w:p>
          <w:p>
            <w:pPr>
              <w:numPr>
                <w:ilvl w:val="0"/>
                <w:numId w:val="0"/>
              </w:numPr>
              <w:ind w:leftChars="0"/>
              <w:rPr>
                <w:rFonts w:hint="eastAsia" w:eastAsia="宋体"/>
                <w:sz w:val="21"/>
                <w:szCs w:val="21"/>
                <w:lang w:val="en-US" w:eastAsia="zh-CN"/>
              </w:rPr>
            </w:pPr>
            <w:r>
              <w:rPr>
                <w:rFonts w:hint="eastAsia" w:eastAsia="宋体"/>
                <w:sz w:val="21"/>
                <w:szCs w:val="21"/>
                <w:lang w:val="en-US" w:eastAsia="zh-CN"/>
              </w:rPr>
              <w:t>（2）拟派项目经理的水利水电工程专业贰级及以上注册建造师执业资格证书、有效的B类安全生产考核合格证书、身份证、本单位缴纳的社保证明材料、有效期内的劳动合同、无在建项目申明函；</w:t>
            </w:r>
          </w:p>
          <w:p>
            <w:pPr>
              <w:numPr>
                <w:ilvl w:val="0"/>
                <w:numId w:val="0"/>
              </w:numPr>
              <w:ind w:leftChars="0"/>
              <w:rPr>
                <w:rFonts w:hint="eastAsia" w:eastAsia="宋体"/>
                <w:sz w:val="21"/>
                <w:szCs w:val="21"/>
                <w:lang w:val="en-US" w:eastAsia="zh-CN"/>
              </w:rPr>
            </w:pPr>
            <w:r>
              <w:rPr>
                <w:rFonts w:hint="eastAsia" w:eastAsia="宋体"/>
                <w:sz w:val="21"/>
                <w:szCs w:val="21"/>
                <w:lang w:val="en-US" w:eastAsia="zh-CN"/>
              </w:rPr>
              <w:t>（3）拟派项目技术负责人的水利水电工程相关专业中级工程师及以上职称证书、本单位缴纳的社保证明材料、有效期内的劳动合同；</w:t>
            </w:r>
          </w:p>
          <w:p>
            <w:pPr>
              <w:numPr>
                <w:ilvl w:val="0"/>
                <w:numId w:val="0"/>
              </w:numPr>
              <w:ind w:leftChars="0"/>
              <w:rPr>
                <w:rFonts w:hint="eastAsia" w:eastAsia="宋体"/>
                <w:sz w:val="21"/>
                <w:szCs w:val="21"/>
                <w:lang w:val="en-US" w:eastAsia="zh-CN"/>
              </w:rPr>
            </w:pPr>
            <w:r>
              <w:rPr>
                <w:rFonts w:hint="eastAsia" w:eastAsia="宋体"/>
                <w:sz w:val="21"/>
                <w:szCs w:val="21"/>
                <w:lang w:val="en-US" w:eastAsia="zh-CN"/>
              </w:rPr>
              <w:t>（4）供应商拟派驻本项目管理班子齐全：施工员、质量员、安全员、资料员、材料员等，须提供以上人员（在本单位缴纳的社保证明材料、有效期内的劳务合同以及住房和城乡建设厅行政主管部门颁发的合格有效的培训证或上岗证），其中安全员必须持有有效的C类安全生产考核合格证书；</w:t>
            </w:r>
          </w:p>
          <w:p>
            <w:pPr>
              <w:numPr>
                <w:ilvl w:val="0"/>
                <w:numId w:val="0"/>
              </w:numPr>
              <w:ind w:leftChars="0"/>
              <w:rPr>
                <w:rFonts w:hint="eastAsia" w:eastAsia="宋体"/>
                <w:sz w:val="21"/>
                <w:szCs w:val="21"/>
                <w:lang w:val="en-US" w:eastAsia="zh-CN"/>
              </w:rPr>
            </w:pPr>
            <w:r>
              <w:rPr>
                <w:rFonts w:hint="eastAsia" w:eastAsia="宋体"/>
                <w:sz w:val="21"/>
                <w:szCs w:val="21"/>
                <w:lang w:val="en-US" w:eastAsia="zh-CN"/>
              </w:rPr>
              <w:t>（5）供应商在湖北省建筑市场监管和信息一体化平台公示的信息记录截图打印件。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2234" w:type="dxa"/>
            <w:vAlign w:val="center"/>
          </w:tcPr>
          <w:p>
            <w:pPr>
              <w:widowControl/>
              <w:jc w:val="left"/>
              <w:rPr>
                <w:rFonts w:ascii="宋体" w:cs="宋体"/>
                <w:b/>
                <w:kern w:val="0"/>
                <w:sz w:val="21"/>
                <w:szCs w:val="21"/>
              </w:rPr>
            </w:pPr>
            <w:r>
              <w:rPr>
                <w:rFonts w:hint="eastAsia" w:ascii="宋体" w:hAnsi="宋体" w:cs="宋体"/>
                <w:b/>
                <w:kern w:val="0"/>
                <w:sz w:val="21"/>
                <w:szCs w:val="21"/>
              </w:rPr>
              <w:t>供应商意见</w:t>
            </w:r>
          </w:p>
        </w:tc>
        <w:tc>
          <w:tcPr>
            <w:tcW w:w="6288" w:type="dxa"/>
          </w:tcPr>
          <w:p>
            <w:pPr>
              <w:rPr>
                <w:b/>
                <w:sz w:val="21"/>
                <w:szCs w:val="21"/>
              </w:rPr>
            </w:pPr>
            <w:r>
              <w:rPr>
                <w:rFonts w:hint="eastAsia"/>
                <w:b/>
                <w:sz w:val="21"/>
                <w:szCs w:val="21"/>
              </w:rPr>
              <w:t>供应商可对本项目采购需求的公正性、专业性、合理性等提出自己正确的意见、建议等（可另页详细表述）。</w:t>
            </w:r>
          </w:p>
        </w:tc>
      </w:tr>
    </w:tbl>
    <w:p>
      <w:pPr>
        <w:pStyle w:val="14"/>
        <w:shd w:val="clear" w:color="auto" w:fill="FFFFFF"/>
        <w:spacing w:before="150" w:beforeAutospacing="0" w:after="150" w:afterAutospacing="0" w:line="360" w:lineRule="atLeast"/>
        <w:ind w:left="150"/>
        <w:rPr>
          <w:rStyle w:val="19"/>
          <w:b w:val="0"/>
          <w:color w:val="000000"/>
          <w:sz w:val="21"/>
          <w:szCs w:val="21"/>
        </w:rPr>
      </w:pPr>
      <w:r>
        <w:rPr>
          <w:rStyle w:val="19"/>
          <w:rFonts w:hint="eastAsia"/>
          <w:b w:val="0"/>
          <w:color w:val="000000"/>
          <w:sz w:val="21"/>
          <w:szCs w:val="21"/>
        </w:rPr>
        <w:t>注意事项：</w:t>
      </w:r>
    </w:p>
    <w:p>
      <w:pPr>
        <w:pStyle w:val="14"/>
        <w:shd w:val="clear" w:color="auto" w:fill="FFFFFF"/>
        <w:spacing w:before="150" w:beforeAutospacing="0" w:after="150" w:afterAutospacing="0" w:line="360" w:lineRule="atLeast"/>
        <w:ind w:left="150" w:firstLine="420" w:firstLineChars="200"/>
        <w:rPr>
          <w:rStyle w:val="19"/>
          <w:b w:val="0"/>
          <w:color w:val="000000"/>
          <w:sz w:val="21"/>
          <w:szCs w:val="21"/>
        </w:rPr>
      </w:pPr>
      <w:r>
        <w:rPr>
          <w:color w:val="000000"/>
          <w:sz w:val="21"/>
          <w:szCs w:val="21"/>
        </w:rPr>
        <w:t>1.</w:t>
      </w:r>
      <w:r>
        <w:rPr>
          <w:rFonts w:hint="eastAsia"/>
          <w:color w:val="000000"/>
          <w:sz w:val="21"/>
          <w:szCs w:val="21"/>
        </w:rPr>
        <w:t>供应商必须严格按照公告的内容和要求，完整递交有关资料，</w:t>
      </w:r>
      <w:r>
        <w:rPr>
          <w:rStyle w:val="19"/>
          <w:rFonts w:hint="eastAsia"/>
          <w:b w:val="0"/>
          <w:color w:val="000000"/>
          <w:sz w:val="21"/>
          <w:szCs w:val="21"/>
        </w:rPr>
        <w:t>逾期递交的将予以拒收。</w:t>
      </w:r>
    </w:p>
    <w:p>
      <w:pPr>
        <w:pStyle w:val="14"/>
        <w:shd w:val="clear" w:color="auto" w:fill="FFFFFF"/>
        <w:spacing w:before="150" w:beforeAutospacing="0" w:after="150" w:afterAutospacing="0" w:line="360" w:lineRule="atLeast"/>
        <w:ind w:left="150" w:firstLine="420" w:firstLineChars="200"/>
        <w:rPr>
          <w:rFonts w:ascii="微软雅黑" w:hAnsi="微软雅黑" w:eastAsia="微软雅黑"/>
          <w:color w:val="000000"/>
          <w:sz w:val="21"/>
          <w:szCs w:val="21"/>
        </w:rPr>
      </w:pPr>
      <w:r>
        <w:rPr>
          <w:rFonts w:ascii="宋体" w:hAnsi="宋体" w:cs="宋体"/>
          <w:color w:val="000000"/>
          <w:sz w:val="21"/>
          <w:szCs w:val="21"/>
        </w:rPr>
        <w:t>2.</w:t>
      </w:r>
      <w:r>
        <w:rPr>
          <w:rFonts w:hint="eastAsia" w:ascii="宋体" w:hAnsi="宋体" w:cs="宋体"/>
          <w:bCs/>
          <w:color w:val="000000"/>
          <w:sz w:val="21"/>
          <w:szCs w:val="21"/>
        </w:rPr>
        <w:t>供应商所递交的资料（全部盖有单位公章）必须为一般常用电脑办公软件能够读取的清晰、易于辨识的彩色电子扫描件、照片（相关证书和证明材料的原件）</w:t>
      </w:r>
      <w:r>
        <w:rPr>
          <w:rFonts w:ascii="宋体" w:cs="宋体"/>
          <w:bCs/>
          <w:color w:val="000000"/>
          <w:sz w:val="21"/>
          <w:szCs w:val="21"/>
        </w:rPr>
        <w:t>,</w:t>
      </w:r>
      <w:r>
        <w:rPr>
          <w:rFonts w:hint="eastAsia" w:ascii="宋体" w:hAnsi="宋体" w:cs="宋体"/>
          <w:bCs/>
          <w:color w:val="000000"/>
          <w:sz w:val="21"/>
          <w:szCs w:val="21"/>
        </w:rPr>
        <w:t>并对其他递交资料内容的真实性、有效性及完整性负责，如提供文件资料有错漏、模糊不清、复印件的电子扫描件、照片、无法读取识别或弄虚作假等，一律属于无效文件。</w:t>
      </w:r>
      <w:r>
        <w:rPr>
          <w:rFonts w:ascii="宋体" w:hAnsi="宋体" w:cs="宋体"/>
          <w:bCs/>
          <w:color w:val="000000"/>
          <w:sz w:val="21"/>
          <w:szCs w:val="21"/>
        </w:rPr>
        <w:t xml:space="preserve"> </w:t>
      </w:r>
    </w:p>
    <w:p>
      <w:pPr>
        <w:pStyle w:val="14"/>
        <w:shd w:val="clear" w:color="auto" w:fill="FFFFFF"/>
        <w:spacing w:before="150" w:beforeAutospacing="0" w:after="150" w:afterAutospacing="0" w:line="360" w:lineRule="atLeast"/>
        <w:ind w:left="150" w:firstLine="420" w:firstLineChars="200"/>
        <w:rPr>
          <w:sz w:val="21"/>
          <w:szCs w:val="21"/>
        </w:rPr>
      </w:pPr>
      <w:r>
        <w:rPr>
          <w:color w:val="000000"/>
          <w:sz w:val="21"/>
          <w:szCs w:val="21"/>
        </w:rPr>
        <w:t>3.</w:t>
      </w:r>
      <w:r>
        <w:rPr>
          <w:rFonts w:hint="eastAsia"/>
          <w:color w:val="000000"/>
          <w:sz w:val="21"/>
          <w:szCs w:val="21"/>
        </w:rPr>
        <w:t>须在邮件（附件文件名注明公司全称）注明公司全称、项目名称及项目编号（不注明我单位将拒收报名邮件）。</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C81DA4"/>
    <w:multiLevelType w:val="multilevel"/>
    <w:tmpl w:val="1AC81DA4"/>
    <w:lvl w:ilvl="0" w:tentative="0">
      <w:start w:val="1"/>
      <w:numFmt w:val="chineseCounting"/>
      <w:suff w:val="nothing"/>
      <w:lvlText w:val="%1、"/>
      <w:lvlJc w:val="left"/>
      <w:pPr>
        <w:ind w:left="210" w:firstLine="420"/>
      </w:pPr>
      <w:rPr>
        <w:rFonts w:hint="eastAsia"/>
      </w:rPr>
    </w:lvl>
    <w:lvl w:ilvl="1" w:tentative="0">
      <w:start w:val="1"/>
      <w:numFmt w:val="decimal"/>
      <w:suff w:val="nothing"/>
      <w:lvlText w:val="%2．"/>
      <w:lvlJc w:val="left"/>
      <w:pPr>
        <w:ind w:left="210" w:firstLine="420"/>
      </w:pPr>
      <w:rPr>
        <w:rFonts w:hint="eastAsia"/>
      </w:rPr>
    </w:lvl>
    <w:lvl w:ilvl="2" w:tentative="0">
      <w:start w:val="1"/>
      <w:numFmt w:val="decimal"/>
      <w:suff w:val="nothing"/>
      <w:lvlText w:val="（%3）"/>
      <w:lvlJc w:val="left"/>
      <w:pPr>
        <w:ind w:left="210" w:firstLine="420"/>
      </w:pPr>
      <w:rPr>
        <w:rFonts w:hint="eastAsia"/>
      </w:rPr>
    </w:lvl>
    <w:lvl w:ilvl="3" w:tentative="0">
      <w:start w:val="1"/>
      <w:numFmt w:val="decimalEnclosedCircleChinese"/>
      <w:suff w:val="nothing"/>
      <w:lvlText w:val="%4"/>
      <w:lvlJc w:val="left"/>
      <w:pPr>
        <w:ind w:left="210" w:firstLine="420"/>
      </w:pPr>
      <w:rPr>
        <w:rFonts w:hint="eastAsia"/>
      </w:rPr>
    </w:lvl>
    <w:lvl w:ilvl="4" w:tentative="0">
      <w:start w:val="1"/>
      <w:numFmt w:val="decimal"/>
      <w:suff w:val="nothing"/>
      <w:lvlText w:val="%5）"/>
      <w:lvlJc w:val="left"/>
      <w:pPr>
        <w:ind w:left="210" w:firstLine="420"/>
      </w:pPr>
      <w:rPr>
        <w:rFonts w:hint="eastAsia"/>
      </w:rPr>
    </w:lvl>
    <w:lvl w:ilvl="5" w:tentative="0">
      <w:start w:val="1"/>
      <w:numFmt w:val="lowerLetter"/>
      <w:suff w:val="nothing"/>
      <w:lvlText w:val="%6．"/>
      <w:lvlJc w:val="left"/>
      <w:pPr>
        <w:ind w:left="210" w:firstLine="420"/>
      </w:pPr>
      <w:rPr>
        <w:rFonts w:hint="eastAsia"/>
      </w:rPr>
    </w:lvl>
    <w:lvl w:ilvl="6" w:tentative="0">
      <w:start w:val="1"/>
      <w:numFmt w:val="lowerLetter"/>
      <w:suff w:val="nothing"/>
      <w:lvlText w:val="%7）"/>
      <w:lvlJc w:val="left"/>
      <w:pPr>
        <w:ind w:left="210" w:firstLine="420"/>
      </w:pPr>
      <w:rPr>
        <w:rFonts w:hint="eastAsia"/>
      </w:rPr>
    </w:lvl>
    <w:lvl w:ilvl="7" w:tentative="0">
      <w:start w:val="1"/>
      <w:numFmt w:val="lowerRoman"/>
      <w:suff w:val="nothing"/>
      <w:lvlText w:val="%8．"/>
      <w:lvlJc w:val="left"/>
      <w:pPr>
        <w:ind w:left="210" w:firstLine="420"/>
      </w:pPr>
      <w:rPr>
        <w:rFonts w:hint="eastAsia"/>
      </w:rPr>
    </w:lvl>
    <w:lvl w:ilvl="8" w:tentative="0">
      <w:start w:val="1"/>
      <w:numFmt w:val="lowerRoman"/>
      <w:suff w:val="nothing"/>
      <w:lvlText w:val="%9）"/>
      <w:lvlJc w:val="left"/>
      <w:pPr>
        <w:ind w:left="210" w:firstLine="420"/>
      </w:pPr>
      <w:rPr>
        <w:rFonts w:hint="eastAsia"/>
      </w:rPr>
    </w:lvl>
  </w:abstractNum>
  <w:abstractNum w:abstractNumId="1">
    <w:nsid w:val="45C42C9A"/>
    <w:multiLevelType w:val="multilevel"/>
    <w:tmpl w:val="45C42C9A"/>
    <w:lvl w:ilvl="0" w:tentative="0">
      <w:start w:val="1"/>
      <w:numFmt w:val="decimal"/>
      <w:lvlText w:val="%1"/>
      <w:lvlJc w:val="left"/>
      <w:pPr>
        <w:tabs>
          <w:tab w:val="left" w:pos="432"/>
        </w:tabs>
        <w:ind w:left="432" w:hanging="432"/>
      </w:pPr>
    </w:lvl>
    <w:lvl w:ilvl="1" w:tentative="0">
      <w:start w:val="1"/>
      <w:numFmt w:val="decimal"/>
      <w:pStyle w:val="2"/>
      <w:lvlText w:val="%1.%2"/>
      <w:lvlJc w:val="left"/>
      <w:pPr>
        <w:tabs>
          <w:tab w:val="left" w:pos="576"/>
        </w:tabs>
        <w:ind w:left="576" w:hanging="576"/>
      </w:pPr>
    </w:lvl>
    <w:lvl w:ilvl="2" w:tentative="0">
      <w:start w:val="1"/>
      <w:numFmt w:val="decimal"/>
      <w:lvlText w:val="%1.%2.%3"/>
      <w:lvlJc w:val="left"/>
      <w:pPr>
        <w:tabs>
          <w:tab w:val="left" w:pos="1260"/>
        </w:tabs>
        <w:ind w:left="126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2">
    <w:nsid w:val="589C2C0F"/>
    <w:multiLevelType w:val="multilevel"/>
    <w:tmpl w:val="589C2C0F"/>
    <w:lvl w:ilvl="0" w:tentative="0">
      <w:start w:val="1"/>
      <w:numFmt w:val="decimal"/>
      <w:lvlText w:val="1.%1"/>
      <w:lvlJc w:val="left"/>
      <w:pPr>
        <w:ind w:left="372" w:hanging="420"/>
      </w:pPr>
      <w:rPr>
        <w:rFonts w:hint="default" w:ascii="宋体" w:hAnsi="宋体" w:eastAsia="宋体"/>
        <w:b/>
        <w:color w:val="auto"/>
      </w:rPr>
    </w:lvl>
    <w:lvl w:ilvl="1" w:tentative="0">
      <w:start w:val="1"/>
      <w:numFmt w:val="lowerLetter"/>
      <w:lvlText w:val="%2)"/>
      <w:lvlJc w:val="left"/>
      <w:pPr>
        <w:ind w:left="792" w:hanging="420"/>
      </w:pPr>
    </w:lvl>
    <w:lvl w:ilvl="2" w:tentative="0">
      <w:start w:val="1"/>
      <w:numFmt w:val="lowerRoman"/>
      <w:lvlText w:val="%3."/>
      <w:lvlJc w:val="right"/>
      <w:pPr>
        <w:ind w:left="1212" w:hanging="420"/>
      </w:pPr>
    </w:lvl>
    <w:lvl w:ilvl="3" w:tentative="0">
      <w:start w:val="1"/>
      <w:numFmt w:val="decimal"/>
      <w:lvlText w:val="%4."/>
      <w:lvlJc w:val="left"/>
      <w:pPr>
        <w:ind w:left="1632" w:hanging="420"/>
      </w:pPr>
    </w:lvl>
    <w:lvl w:ilvl="4" w:tentative="0">
      <w:start w:val="1"/>
      <w:numFmt w:val="lowerLetter"/>
      <w:lvlText w:val="%5)"/>
      <w:lvlJc w:val="left"/>
      <w:pPr>
        <w:ind w:left="2052" w:hanging="420"/>
      </w:pPr>
    </w:lvl>
    <w:lvl w:ilvl="5" w:tentative="0">
      <w:start w:val="1"/>
      <w:numFmt w:val="lowerRoman"/>
      <w:lvlText w:val="%6."/>
      <w:lvlJc w:val="right"/>
      <w:pPr>
        <w:ind w:left="2472" w:hanging="420"/>
      </w:pPr>
    </w:lvl>
    <w:lvl w:ilvl="6" w:tentative="0">
      <w:start w:val="1"/>
      <w:numFmt w:val="decimal"/>
      <w:lvlText w:val="%7."/>
      <w:lvlJc w:val="left"/>
      <w:pPr>
        <w:ind w:left="2892" w:hanging="420"/>
      </w:pPr>
    </w:lvl>
    <w:lvl w:ilvl="7" w:tentative="0">
      <w:start w:val="1"/>
      <w:numFmt w:val="lowerLetter"/>
      <w:lvlText w:val="%8)"/>
      <w:lvlJc w:val="left"/>
      <w:pPr>
        <w:ind w:left="3312" w:hanging="420"/>
      </w:pPr>
    </w:lvl>
    <w:lvl w:ilvl="8" w:tentative="0">
      <w:start w:val="1"/>
      <w:numFmt w:val="lowerRoman"/>
      <w:lvlText w:val="%9."/>
      <w:lvlJc w:val="right"/>
      <w:pPr>
        <w:ind w:left="3732" w:hanging="420"/>
      </w:pPr>
    </w:lvl>
  </w:abstractNum>
  <w:abstractNum w:abstractNumId="3">
    <w:nsid w:val="5E94ACAA"/>
    <w:multiLevelType w:val="singleLevel"/>
    <w:tmpl w:val="5E94ACAA"/>
    <w:lvl w:ilvl="0" w:tentative="0">
      <w:start w:val="4"/>
      <w:numFmt w:val="chineseCounting"/>
      <w:suff w:val="space"/>
      <w:lvlText w:val="%1、"/>
      <w:lvlJc w:val="left"/>
      <w:rPr>
        <w:rFonts w:hint="eastAsia"/>
      </w:rPr>
    </w:lvl>
  </w:abstractNum>
  <w:abstractNum w:abstractNumId="4">
    <w:nsid w:val="7BB21FF4"/>
    <w:multiLevelType w:val="multilevel"/>
    <w:tmpl w:val="7BB21FF4"/>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52DE9"/>
    <w:rsid w:val="00016BFD"/>
    <w:rsid w:val="00021D98"/>
    <w:rsid w:val="00026D00"/>
    <w:rsid w:val="000527BB"/>
    <w:rsid w:val="00056AED"/>
    <w:rsid w:val="0008654C"/>
    <w:rsid w:val="0009726D"/>
    <w:rsid w:val="000A6872"/>
    <w:rsid w:val="000D728B"/>
    <w:rsid w:val="00101CA6"/>
    <w:rsid w:val="00104393"/>
    <w:rsid w:val="00120CEA"/>
    <w:rsid w:val="00122B5C"/>
    <w:rsid w:val="00127B67"/>
    <w:rsid w:val="00162BF4"/>
    <w:rsid w:val="00174B5D"/>
    <w:rsid w:val="001B3DD1"/>
    <w:rsid w:val="00227C74"/>
    <w:rsid w:val="00241FC1"/>
    <w:rsid w:val="00247E29"/>
    <w:rsid w:val="00251305"/>
    <w:rsid w:val="00263FDD"/>
    <w:rsid w:val="0027306D"/>
    <w:rsid w:val="00286F91"/>
    <w:rsid w:val="002912E3"/>
    <w:rsid w:val="002C0DCE"/>
    <w:rsid w:val="002D3A86"/>
    <w:rsid w:val="002E6F83"/>
    <w:rsid w:val="002E70BC"/>
    <w:rsid w:val="00354132"/>
    <w:rsid w:val="00356FB9"/>
    <w:rsid w:val="0038354E"/>
    <w:rsid w:val="003A3307"/>
    <w:rsid w:val="003C173C"/>
    <w:rsid w:val="0042465C"/>
    <w:rsid w:val="00431D7E"/>
    <w:rsid w:val="004357AA"/>
    <w:rsid w:val="004451C8"/>
    <w:rsid w:val="00462B04"/>
    <w:rsid w:val="00465FFA"/>
    <w:rsid w:val="0048653B"/>
    <w:rsid w:val="004D26D1"/>
    <w:rsid w:val="0051396C"/>
    <w:rsid w:val="00526415"/>
    <w:rsid w:val="005517D8"/>
    <w:rsid w:val="00577CD8"/>
    <w:rsid w:val="00587588"/>
    <w:rsid w:val="006101C6"/>
    <w:rsid w:val="0067218F"/>
    <w:rsid w:val="006763BF"/>
    <w:rsid w:val="00680095"/>
    <w:rsid w:val="006A74A1"/>
    <w:rsid w:val="006B1667"/>
    <w:rsid w:val="006B566D"/>
    <w:rsid w:val="00710283"/>
    <w:rsid w:val="00714951"/>
    <w:rsid w:val="00731C4C"/>
    <w:rsid w:val="00770BDF"/>
    <w:rsid w:val="007E530D"/>
    <w:rsid w:val="0081133A"/>
    <w:rsid w:val="00841971"/>
    <w:rsid w:val="00843EA0"/>
    <w:rsid w:val="0085685E"/>
    <w:rsid w:val="00862199"/>
    <w:rsid w:val="008632F9"/>
    <w:rsid w:val="00877547"/>
    <w:rsid w:val="008D5B51"/>
    <w:rsid w:val="009111CF"/>
    <w:rsid w:val="00912E34"/>
    <w:rsid w:val="00917353"/>
    <w:rsid w:val="00965878"/>
    <w:rsid w:val="00973CEA"/>
    <w:rsid w:val="00984E78"/>
    <w:rsid w:val="009F57B7"/>
    <w:rsid w:val="00A06B58"/>
    <w:rsid w:val="00AC4743"/>
    <w:rsid w:val="00AC4FF6"/>
    <w:rsid w:val="00AC7064"/>
    <w:rsid w:val="00AD57E9"/>
    <w:rsid w:val="00AE0050"/>
    <w:rsid w:val="00B02FC2"/>
    <w:rsid w:val="00B37D97"/>
    <w:rsid w:val="00B422CC"/>
    <w:rsid w:val="00B87DB2"/>
    <w:rsid w:val="00BD15BE"/>
    <w:rsid w:val="00C045C9"/>
    <w:rsid w:val="00C04CDB"/>
    <w:rsid w:val="00C554DF"/>
    <w:rsid w:val="00C7441B"/>
    <w:rsid w:val="00C7583C"/>
    <w:rsid w:val="00C77263"/>
    <w:rsid w:val="00C8060B"/>
    <w:rsid w:val="00C81BC1"/>
    <w:rsid w:val="00C94576"/>
    <w:rsid w:val="00CA0AA0"/>
    <w:rsid w:val="00D049F5"/>
    <w:rsid w:val="00D239DE"/>
    <w:rsid w:val="00D34002"/>
    <w:rsid w:val="00D63126"/>
    <w:rsid w:val="00D64C90"/>
    <w:rsid w:val="00D665CD"/>
    <w:rsid w:val="00D9157E"/>
    <w:rsid w:val="00DA12FB"/>
    <w:rsid w:val="00DA3AC3"/>
    <w:rsid w:val="00DC47E0"/>
    <w:rsid w:val="00DD4640"/>
    <w:rsid w:val="00DE7188"/>
    <w:rsid w:val="00DE75E6"/>
    <w:rsid w:val="00E14B01"/>
    <w:rsid w:val="00E5330B"/>
    <w:rsid w:val="00E6320A"/>
    <w:rsid w:val="00E652DF"/>
    <w:rsid w:val="00E721AB"/>
    <w:rsid w:val="00E849D4"/>
    <w:rsid w:val="00E94B33"/>
    <w:rsid w:val="00EB4553"/>
    <w:rsid w:val="00EB5D3C"/>
    <w:rsid w:val="00EC51EB"/>
    <w:rsid w:val="00ED3F8E"/>
    <w:rsid w:val="00EF6F42"/>
    <w:rsid w:val="00F10D7E"/>
    <w:rsid w:val="00F27BC7"/>
    <w:rsid w:val="00F52DE9"/>
    <w:rsid w:val="00F67B38"/>
    <w:rsid w:val="00F76F50"/>
    <w:rsid w:val="00F83087"/>
    <w:rsid w:val="00FD4208"/>
    <w:rsid w:val="00FF19EE"/>
    <w:rsid w:val="036E1E2C"/>
    <w:rsid w:val="04DA7F5E"/>
    <w:rsid w:val="05357BDD"/>
    <w:rsid w:val="05EB380B"/>
    <w:rsid w:val="081669CA"/>
    <w:rsid w:val="0B706B75"/>
    <w:rsid w:val="0B74362C"/>
    <w:rsid w:val="0D662123"/>
    <w:rsid w:val="0DCB5D0A"/>
    <w:rsid w:val="0F7E0229"/>
    <w:rsid w:val="13BB3CF4"/>
    <w:rsid w:val="17867FBC"/>
    <w:rsid w:val="195D260D"/>
    <w:rsid w:val="1B2B3562"/>
    <w:rsid w:val="1BD4729A"/>
    <w:rsid w:val="1D3A4920"/>
    <w:rsid w:val="202042A9"/>
    <w:rsid w:val="210E4EE0"/>
    <w:rsid w:val="22584D7B"/>
    <w:rsid w:val="23E661CC"/>
    <w:rsid w:val="24AF6192"/>
    <w:rsid w:val="348827AB"/>
    <w:rsid w:val="357E4F48"/>
    <w:rsid w:val="38BD05F5"/>
    <w:rsid w:val="40586677"/>
    <w:rsid w:val="41974E7F"/>
    <w:rsid w:val="426E2F53"/>
    <w:rsid w:val="43AD4FFF"/>
    <w:rsid w:val="4631003F"/>
    <w:rsid w:val="4D6E4FF3"/>
    <w:rsid w:val="4F1E5C9D"/>
    <w:rsid w:val="5045265C"/>
    <w:rsid w:val="51322DE5"/>
    <w:rsid w:val="527231F0"/>
    <w:rsid w:val="54117053"/>
    <w:rsid w:val="570C6CFC"/>
    <w:rsid w:val="5A452253"/>
    <w:rsid w:val="5D177DDA"/>
    <w:rsid w:val="5D1B63ED"/>
    <w:rsid w:val="5DB549BD"/>
    <w:rsid w:val="5E0C14F9"/>
    <w:rsid w:val="62357691"/>
    <w:rsid w:val="641512DC"/>
    <w:rsid w:val="65E25D1A"/>
    <w:rsid w:val="68D24476"/>
    <w:rsid w:val="6DA05F80"/>
    <w:rsid w:val="6F00649B"/>
    <w:rsid w:val="6FBC0A3F"/>
    <w:rsid w:val="72C54810"/>
    <w:rsid w:val="75885BC0"/>
    <w:rsid w:val="77471B72"/>
    <w:rsid w:val="788B400E"/>
    <w:rsid w:val="7C6D675F"/>
    <w:rsid w:val="7CD55063"/>
    <w:rsid w:val="7DA42B87"/>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微软雅黑"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ocked="1"/>
    <w:lsdException w:qFormat="1" w:unhideWhenUsed="0" w:uiPriority="0"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qFormat="1" w:unhideWhenUsed="0" w:uiPriority="99"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3">
    <w:name w:val="heading 1"/>
    <w:basedOn w:val="1"/>
    <w:next w:val="1"/>
    <w:link w:val="22"/>
    <w:qFormat/>
    <w:uiPriority w:val="99"/>
    <w:pPr>
      <w:keepNext/>
      <w:keepLines/>
      <w:spacing w:before="340" w:after="330" w:line="576" w:lineRule="auto"/>
      <w:outlineLvl w:val="0"/>
    </w:pPr>
    <w:rPr>
      <w:b/>
      <w:bCs/>
      <w:kern w:val="44"/>
      <w:sz w:val="44"/>
      <w:szCs w:val="44"/>
    </w:rPr>
  </w:style>
  <w:style w:type="paragraph" w:styleId="2">
    <w:name w:val="heading 2"/>
    <w:basedOn w:val="1"/>
    <w:next w:val="1"/>
    <w:qFormat/>
    <w:locked/>
    <w:uiPriority w:val="0"/>
    <w:pPr>
      <w:keepNext/>
      <w:keepLines/>
      <w:numPr>
        <w:ilvl w:val="1"/>
        <w:numId w:val="1"/>
      </w:numPr>
      <w:spacing w:before="260" w:after="260" w:line="416" w:lineRule="auto"/>
      <w:ind w:left="0" w:firstLine="0"/>
      <w:outlineLvl w:val="1"/>
    </w:pPr>
    <w:rPr>
      <w:rFonts w:ascii="Cambria" w:hAnsi="Cambria"/>
      <w:b/>
      <w:bCs/>
      <w:szCs w:val="32"/>
    </w:rPr>
  </w:style>
  <w:style w:type="paragraph" w:styleId="4">
    <w:name w:val="heading 3"/>
    <w:basedOn w:val="1"/>
    <w:next w:val="1"/>
    <w:qFormat/>
    <w:locked/>
    <w:uiPriority w:val="0"/>
    <w:pPr>
      <w:keepNext/>
      <w:keepLines/>
      <w:spacing w:line="415" w:lineRule="auto"/>
      <w:outlineLvl w:val="2"/>
    </w:pPr>
    <w:rPr>
      <w:b/>
      <w:bCs/>
      <w:sz w:val="32"/>
      <w:szCs w:val="3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unhideWhenUsed/>
    <w:qFormat/>
    <w:uiPriority w:val="99"/>
    <w:pPr>
      <w:jc w:val="left"/>
    </w:pPr>
  </w:style>
  <w:style w:type="paragraph" w:styleId="6">
    <w:name w:val="Body Text"/>
    <w:basedOn w:val="1"/>
    <w:qFormat/>
    <w:uiPriority w:val="0"/>
    <w:pPr>
      <w:spacing w:line="420" w:lineRule="auto"/>
    </w:pPr>
    <w:rPr>
      <w:sz w:val="24"/>
    </w:rPr>
  </w:style>
  <w:style w:type="paragraph" w:styleId="7">
    <w:name w:val="Body Text Indent"/>
    <w:basedOn w:val="1"/>
    <w:next w:val="8"/>
    <w:qFormat/>
    <w:uiPriority w:val="99"/>
    <w:pPr>
      <w:tabs>
        <w:tab w:val="left" w:pos="615"/>
      </w:tabs>
      <w:spacing w:line="480" w:lineRule="atLeast"/>
      <w:ind w:firstLine="840" w:firstLineChars="300"/>
    </w:pPr>
    <w:rPr>
      <w:rFonts w:ascii="宋体"/>
      <w:kern w:val="0"/>
      <w:sz w:val="28"/>
      <w:szCs w:val="15"/>
    </w:rPr>
  </w:style>
  <w:style w:type="paragraph" w:styleId="8">
    <w:name w:val="envelope return"/>
    <w:basedOn w:val="1"/>
    <w:qFormat/>
    <w:uiPriority w:val="99"/>
    <w:pPr>
      <w:snapToGrid w:val="0"/>
    </w:pPr>
    <w:rPr>
      <w:rFonts w:ascii="Arial" w:hAnsi="Arial" w:cs="Arial"/>
    </w:rPr>
  </w:style>
  <w:style w:type="paragraph" w:styleId="9">
    <w:name w:val="Plain Text"/>
    <w:basedOn w:val="1"/>
    <w:qFormat/>
    <w:uiPriority w:val="0"/>
    <w:rPr>
      <w:rFonts w:ascii="宋体" w:hAnsi="Courier New" w:eastAsia="宋体" w:cs="Courier New"/>
      <w:szCs w:val="21"/>
    </w:rPr>
  </w:style>
  <w:style w:type="paragraph" w:styleId="10">
    <w:name w:val="Balloon Text"/>
    <w:basedOn w:val="1"/>
    <w:link w:val="23"/>
    <w:qFormat/>
    <w:uiPriority w:val="99"/>
    <w:rPr>
      <w:sz w:val="18"/>
      <w:szCs w:val="18"/>
    </w:rPr>
  </w:style>
  <w:style w:type="paragraph" w:styleId="11">
    <w:name w:val="footer"/>
    <w:basedOn w:val="1"/>
    <w:link w:val="24"/>
    <w:qFormat/>
    <w:uiPriority w:val="99"/>
    <w:pPr>
      <w:tabs>
        <w:tab w:val="center" w:pos="4153"/>
        <w:tab w:val="right" w:pos="8306"/>
      </w:tabs>
      <w:snapToGrid w:val="0"/>
      <w:jc w:val="left"/>
    </w:pPr>
    <w:rPr>
      <w:sz w:val="18"/>
      <w:szCs w:val="18"/>
    </w:rPr>
  </w:style>
  <w:style w:type="paragraph" w:styleId="12">
    <w:name w:val="header"/>
    <w:basedOn w:val="1"/>
    <w:link w:val="25"/>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locked/>
    <w:uiPriority w:val="0"/>
    <w:pPr>
      <w:tabs>
        <w:tab w:val="left" w:pos="1020"/>
        <w:tab w:val="right" w:leader="dot" w:pos="8302"/>
      </w:tabs>
    </w:pPr>
    <w:rPr>
      <w:rFonts w:ascii="Times New Roman" w:hAnsi="Times New Roman"/>
      <w:szCs w:val="21"/>
    </w:rPr>
  </w:style>
  <w:style w:type="paragraph" w:styleId="14">
    <w:name w:val="Normal (Web)"/>
    <w:basedOn w:val="1"/>
    <w:qFormat/>
    <w:uiPriority w:val="99"/>
    <w:pPr>
      <w:spacing w:beforeAutospacing="1" w:afterAutospacing="1"/>
      <w:jc w:val="left"/>
    </w:pPr>
    <w:rPr>
      <w:rFonts w:cs="Times New Roman"/>
      <w:kern w:val="0"/>
      <w:sz w:val="24"/>
    </w:rPr>
  </w:style>
  <w:style w:type="paragraph" w:styleId="15">
    <w:name w:val="Body Text First Indent 2"/>
    <w:basedOn w:val="7"/>
    <w:qFormat/>
    <w:uiPriority w:val="99"/>
    <w:pPr>
      <w:ind w:firstLine="420" w:firstLineChars="200"/>
    </w:pPr>
    <w:rPr>
      <w:rFonts w:ascii="Times New Roman"/>
      <w:sz w:val="21"/>
    </w:rPr>
  </w:style>
  <w:style w:type="table" w:styleId="17">
    <w:name w:val="Table Grid"/>
    <w:basedOn w:val="16"/>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99"/>
    <w:rPr>
      <w:rFonts w:cs="Times New Roman"/>
      <w:b/>
      <w:bCs/>
    </w:rPr>
  </w:style>
  <w:style w:type="paragraph" w:customStyle="1" w:styleId="20">
    <w:name w:val="段"/>
    <w:basedOn w:val="21"/>
    <w:next w:val="1"/>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21">
    <w:name w:val="Normal_2"/>
    <w:qFormat/>
    <w:uiPriority w:val="0"/>
    <w:pPr>
      <w:widowControl w:val="0"/>
      <w:jc w:val="both"/>
    </w:pPr>
    <w:rPr>
      <w:rFonts w:ascii="Times New Roman" w:hAnsi="Times New Roman" w:eastAsia="宋体" w:cs="Times New Roman"/>
      <w:szCs w:val="24"/>
      <w:lang w:val="en-US" w:eastAsia="zh-CN" w:bidi="ar-SA"/>
    </w:rPr>
  </w:style>
  <w:style w:type="character" w:customStyle="1" w:styleId="22">
    <w:name w:val="标题 1 Char"/>
    <w:basedOn w:val="18"/>
    <w:link w:val="3"/>
    <w:qFormat/>
    <w:locked/>
    <w:uiPriority w:val="99"/>
    <w:rPr>
      <w:rFonts w:eastAsia="宋体" w:cs="Times New Roman"/>
      <w:b/>
      <w:bCs/>
      <w:kern w:val="44"/>
      <w:sz w:val="44"/>
      <w:szCs w:val="44"/>
    </w:rPr>
  </w:style>
  <w:style w:type="character" w:customStyle="1" w:styleId="23">
    <w:name w:val="批注框文本 Char"/>
    <w:basedOn w:val="18"/>
    <w:link w:val="10"/>
    <w:semiHidden/>
    <w:qFormat/>
    <w:locked/>
    <w:uiPriority w:val="99"/>
    <w:rPr>
      <w:rFonts w:cs="Times New Roman"/>
      <w:sz w:val="18"/>
      <w:szCs w:val="18"/>
    </w:rPr>
  </w:style>
  <w:style w:type="character" w:customStyle="1" w:styleId="24">
    <w:name w:val="页脚 Char"/>
    <w:basedOn w:val="18"/>
    <w:link w:val="11"/>
    <w:qFormat/>
    <w:locked/>
    <w:uiPriority w:val="99"/>
    <w:rPr>
      <w:rFonts w:cs="Times New Roman"/>
      <w:sz w:val="18"/>
      <w:szCs w:val="18"/>
    </w:rPr>
  </w:style>
  <w:style w:type="character" w:customStyle="1" w:styleId="25">
    <w:name w:val="页眉 Char"/>
    <w:basedOn w:val="18"/>
    <w:link w:val="12"/>
    <w:qFormat/>
    <w:locked/>
    <w:uiPriority w:val="99"/>
    <w:rPr>
      <w:rFonts w:cs="Times New Roman"/>
      <w:sz w:val="18"/>
      <w:szCs w:val="18"/>
    </w:rPr>
  </w:style>
  <w:style w:type="paragraph" w:styleId="26">
    <w:name w:val="List Paragraph"/>
    <w:basedOn w:val="1"/>
    <w:qFormat/>
    <w:uiPriority w:val="99"/>
    <w:pPr>
      <w:ind w:firstLine="420" w:firstLineChars="200"/>
    </w:pPr>
    <w:rPr>
      <w:rFonts w:ascii="Calibri" w:hAnsi="Calibri" w:eastAsia="宋体" w:cs="Times New Roman"/>
      <w:szCs w:val="21"/>
    </w:rPr>
  </w:style>
  <w:style w:type="paragraph" w:customStyle="1" w:styleId="27">
    <w:name w:val="样式 首行缩进:  2 字符"/>
    <w:basedOn w:val="1"/>
    <w:qFormat/>
    <w:uiPriority w:val="0"/>
    <w:pPr>
      <w:spacing w:line="360" w:lineRule="auto"/>
      <w:ind w:firstLine="480" w:firstLineChars="200"/>
      <w:jc w:val="left"/>
    </w:pPr>
    <w:rPr>
      <w:rFonts w:ascii="宋体" w:hAnsi="宋体" w:cs="宋体"/>
      <w:color w:val="000000"/>
      <w:sz w:val="24"/>
      <w:szCs w:val="20"/>
    </w:rPr>
  </w:style>
  <w:style w:type="paragraph" w:customStyle="1" w:styleId="28">
    <w:name w:val="大汉方案正文"/>
    <w:basedOn w:val="1"/>
    <w:qFormat/>
    <w:uiPriority w:val="0"/>
    <w:pPr>
      <w:spacing w:line="360" w:lineRule="auto"/>
      <w:ind w:firstLine="200" w:firstLineChars="200"/>
    </w:pPr>
    <w:rPr>
      <w:rFonts w:ascii="Arial" w:hAnsi="Arial"/>
      <w:sz w:val="24"/>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emf"/><Relationship Id="rId7" Type="http://schemas.openxmlformats.org/officeDocument/2006/relationships/oleObject" Target="embeddings/oleObject2.bin"/><Relationship Id="rId6" Type="http://schemas.openxmlformats.org/officeDocument/2006/relationships/image" Target="media/image1.e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3364</Words>
  <Characters>519</Characters>
  <Lines>4</Lines>
  <Paragraphs>7</Paragraphs>
  <TotalTime>1</TotalTime>
  <ScaleCrop>false</ScaleCrop>
  <LinksUpToDate>false</LinksUpToDate>
  <CharactersWithSpaces>3876</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2017-04-17T01:17:00Z</dcterms:created>
  <dc:creator>wangh</dc:creator>
  <cp:lastModifiedBy>Administrator</cp:lastModifiedBy>
  <cp:lastPrinted>2021-06-09T01:06:00Z</cp:lastPrinted>
  <dcterms:modified xsi:type="dcterms:W3CDTF">2022-02-25T01:03:31Z</dcterms:modified>
  <dc:title>湖北省省级政府采购需求公示</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37440CCBF14442BB9C261FC16003C231</vt:lpwstr>
  </property>
</Properties>
</file>