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widowControl/>
        <w:wordWrap/>
        <w:overflowPunct/>
        <w:topLinePunct w:val="0"/>
        <w:bidi w:val="0"/>
        <w:adjustRightInd w:val="0"/>
        <w:snapToGrid w:val="0"/>
        <w:spacing w:before="0" w:beforeLines="0" w:after="0" w:afterLines="0"/>
        <w:rPr>
          <w:rFonts w:hint="eastAsia" w:eastAsia="宋体"/>
          <w:highlight w:val="none"/>
          <w:lang w:val="en-US" w:eastAsia="zh-CN"/>
        </w:rPr>
      </w:pPr>
      <w:bookmarkStart w:id="0" w:name="_Toc22713"/>
      <w:bookmarkStart w:id="1" w:name="_Toc13460"/>
      <w:bookmarkStart w:id="2" w:name="_Toc17988"/>
      <w:r>
        <w:rPr>
          <w:rFonts w:hint="eastAsia"/>
          <w:highlight w:val="none"/>
          <w:lang w:val="en-US" w:eastAsia="zh-CN"/>
        </w:rPr>
        <w:t>一、</w:t>
      </w:r>
      <w:r>
        <w:rPr>
          <w:rFonts w:hint="eastAsia"/>
          <w:highlight w:val="none"/>
          <w:lang w:val="en-US"/>
        </w:rPr>
        <w:t>采购</w:t>
      </w:r>
      <w:bookmarkEnd w:id="0"/>
      <w:bookmarkEnd w:id="1"/>
      <w:bookmarkEnd w:id="2"/>
      <w:r>
        <w:rPr>
          <w:rFonts w:hint="eastAsia"/>
          <w:highlight w:val="none"/>
          <w:lang w:val="en-US" w:eastAsia="zh-CN"/>
        </w:rPr>
        <w:t>需求</w:t>
      </w: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left="0" w:leftChars="0" w:firstLine="420" w:firstLineChars="0"/>
        <w:textAlignment w:val="baseline"/>
        <w:rPr>
          <w:rFonts w:hint="eastAsia" w:eastAsia="宋体"/>
          <w:b/>
          <w:bCs/>
          <w:sz w:val="28"/>
          <w:szCs w:val="28"/>
          <w:highlight w:val="none"/>
          <w:lang w:val="en-US" w:eastAsia="zh-CN"/>
        </w:rPr>
      </w:pPr>
      <w:r>
        <w:rPr>
          <w:rFonts w:hint="eastAsia" w:eastAsia="宋体"/>
          <w:b/>
          <w:bCs/>
          <w:sz w:val="28"/>
          <w:szCs w:val="28"/>
          <w:highlight w:val="none"/>
          <w:lang w:val="en-US" w:eastAsia="zh-CN"/>
        </w:rPr>
        <w:t>项目需求</w:t>
      </w:r>
    </w:p>
    <w:p>
      <w:pPr>
        <w:pStyle w:val="12"/>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eastAsia="宋体"/>
          <w:sz w:val="24"/>
          <w:szCs w:val="24"/>
          <w:highlight w:val="none"/>
          <w:lang w:eastAsia="zh-CN"/>
        </w:rPr>
      </w:pPr>
      <w:bookmarkStart w:id="3" w:name="_Toc358447573"/>
      <w:bookmarkStart w:id="4" w:name="_Toc423417722"/>
      <w:r>
        <w:rPr>
          <w:rFonts w:hint="eastAsia"/>
          <w:sz w:val="24"/>
          <w:szCs w:val="24"/>
          <w:highlight w:val="none"/>
        </w:rPr>
        <w:t>为开展好太湖港街道生活垃圾清运及清扫保洁政府购买社会化服务工作，推进环境综合治理工作更加专业化、制度化、精细化、高效化，主要负责太湖港街道范围内道路等清扫保洁和垃圾收集、清运并将垃圾转运至垃圾中转站转运场进行规范化处理</w:t>
      </w:r>
      <w:r>
        <w:rPr>
          <w:rFonts w:hint="eastAsia"/>
          <w:sz w:val="24"/>
          <w:szCs w:val="24"/>
          <w:highlight w:val="none"/>
          <w:lang w:eastAsia="zh-CN"/>
        </w:rPr>
        <w:t>。</w:t>
      </w:r>
    </w:p>
    <w:p>
      <w:pPr>
        <w:pStyle w:val="9"/>
        <w:rPr>
          <w:rFonts w:hint="eastAsia"/>
          <w:highlight w:val="none"/>
        </w:rPr>
      </w:pP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left="0" w:leftChars="0" w:firstLine="420" w:firstLineChars="0"/>
        <w:textAlignment w:val="baseline"/>
        <w:rPr>
          <w:rFonts w:hint="eastAsia" w:eastAsia="宋体"/>
          <w:b/>
          <w:bCs/>
          <w:sz w:val="28"/>
          <w:szCs w:val="28"/>
          <w:highlight w:val="none"/>
          <w:lang w:val="en-US" w:eastAsia="zh-CN"/>
        </w:rPr>
      </w:pPr>
      <w:r>
        <w:rPr>
          <w:rFonts w:hint="eastAsia" w:eastAsia="宋体"/>
          <w:b/>
          <w:bCs/>
          <w:sz w:val="28"/>
          <w:szCs w:val="28"/>
          <w:highlight w:val="none"/>
          <w:lang w:val="en-US" w:eastAsia="zh-CN"/>
        </w:rPr>
        <w:t>二、技术、服务要求</w:t>
      </w:r>
    </w:p>
    <w:bookmarkEnd w:id="3"/>
    <w:bookmarkEnd w:id="4"/>
    <w:p>
      <w:pPr>
        <w:ind w:firstLine="420"/>
        <w:rPr>
          <w:rFonts w:hint="eastAsia" w:ascii="宋体" w:hAnsi="宋体" w:eastAsia="宋体" w:cs="宋体"/>
          <w:sz w:val="24"/>
          <w:szCs w:val="24"/>
          <w:highlight w:val="none"/>
        </w:rPr>
      </w:pPr>
      <w:bookmarkStart w:id="5" w:name="_Toc30247"/>
      <w:bookmarkStart w:id="6" w:name="_Toc19048"/>
      <w:r>
        <w:rPr>
          <w:rFonts w:hint="eastAsia"/>
          <w:sz w:val="28"/>
          <w:szCs w:val="28"/>
          <w:highlight w:val="none"/>
        </w:rPr>
        <w:t xml:space="preserve"> </w:t>
      </w:r>
      <w:r>
        <w:rPr>
          <w:rFonts w:hint="eastAsia" w:ascii="宋体" w:hAnsi="宋体" w:eastAsia="宋体" w:cs="宋体"/>
          <w:sz w:val="24"/>
          <w:szCs w:val="24"/>
          <w:highlight w:val="none"/>
        </w:rPr>
        <w:t>根据荆州高新技术产业开发区太湖街道办事处</w:t>
      </w:r>
      <w:r>
        <w:rPr>
          <w:rFonts w:hint="eastAsia" w:ascii="宋体" w:hAnsi="宋体" w:eastAsia="宋体" w:cs="宋体"/>
          <w:sz w:val="24"/>
          <w:szCs w:val="24"/>
          <w:highlight w:val="none"/>
          <w:lang w:eastAsia="zh-CN"/>
        </w:rPr>
        <w:t>环卫保洁、垃圾清运</w:t>
      </w:r>
      <w:r>
        <w:rPr>
          <w:rFonts w:hint="eastAsia" w:ascii="宋体" w:hAnsi="宋体" w:eastAsia="宋体" w:cs="宋体"/>
          <w:sz w:val="24"/>
          <w:szCs w:val="24"/>
          <w:highlight w:val="none"/>
        </w:rPr>
        <w:t>工作要求</w:t>
      </w:r>
      <w:r>
        <w:rPr>
          <w:rFonts w:hint="eastAsia" w:ascii="宋体" w:hAnsi="宋体" w:eastAsia="宋体" w:cs="宋体"/>
          <w:sz w:val="24"/>
          <w:szCs w:val="24"/>
          <w:highlight w:val="none"/>
          <w:lang w:eastAsia="zh-CN"/>
        </w:rPr>
        <w:t>，对于环卫保洁、垃圾清运工作</w:t>
      </w:r>
      <w:r>
        <w:rPr>
          <w:rFonts w:hint="eastAsia" w:ascii="宋体" w:hAnsi="宋体" w:eastAsia="宋体" w:cs="宋体"/>
          <w:sz w:val="24"/>
          <w:szCs w:val="24"/>
          <w:highlight w:val="none"/>
        </w:rPr>
        <w:t>内容</w:t>
      </w:r>
      <w:r>
        <w:rPr>
          <w:rFonts w:hint="eastAsia" w:ascii="宋体" w:hAnsi="宋体" w:eastAsia="宋体" w:cs="宋体"/>
          <w:sz w:val="24"/>
          <w:szCs w:val="24"/>
          <w:highlight w:val="none"/>
          <w:lang w:eastAsia="zh-CN"/>
        </w:rPr>
        <w:t>具体</w:t>
      </w:r>
      <w:r>
        <w:rPr>
          <w:rFonts w:hint="eastAsia" w:ascii="宋体" w:hAnsi="宋体" w:eastAsia="宋体" w:cs="宋体"/>
          <w:sz w:val="24"/>
          <w:szCs w:val="24"/>
          <w:highlight w:val="none"/>
        </w:rPr>
        <w:t>分两大类：</w:t>
      </w:r>
    </w:p>
    <w:p>
      <w:pPr>
        <w:numPr>
          <w:ilvl w:val="0"/>
          <w:numId w:val="2"/>
        </w:numPr>
        <w:ind w:left="425" w:leftChars="0" w:hanging="425" w:firstLineChars="0"/>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太湖港街道集镇</w:t>
      </w:r>
      <w:r>
        <w:rPr>
          <w:rFonts w:hint="eastAsia" w:ascii="宋体" w:hAnsi="宋体" w:eastAsia="宋体" w:cs="宋体"/>
          <w:b/>
          <w:bCs/>
          <w:sz w:val="24"/>
          <w:szCs w:val="24"/>
          <w:highlight w:val="none"/>
          <w:lang w:eastAsia="zh-CN"/>
        </w:rPr>
        <w:t>环卫</w:t>
      </w:r>
      <w:r>
        <w:rPr>
          <w:rFonts w:hint="eastAsia" w:ascii="宋体" w:hAnsi="宋体" w:eastAsia="宋体" w:cs="宋体"/>
          <w:b/>
          <w:bCs/>
          <w:sz w:val="24"/>
          <w:szCs w:val="24"/>
          <w:highlight w:val="none"/>
        </w:rPr>
        <w:t xml:space="preserve">保洁                                            </w:t>
      </w:r>
    </w:p>
    <w:p>
      <w:pPr>
        <w:numPr>
          <w:ilvl w:val="1"/>
          <w:numId w:val="3"/>
        </w:numPr>
        <w:ind w:left="10" w:leftChars="0" w:hanging="10" w:firstLineChars="0"/>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集镇</w:t>
      </w:r>
      <w:r>
        <w:rPr>
          <w:rFonts w:hint="eastAsia" w:ascii="宋体" w:hAnsi="宋体" w:eastAsia="宋体" w:cs="宋体"/>
          <w:b/>
          <w:bCs/>
          <w:sz w:val="24"/>
          <w:szCs w:val="24"/>
          <w:highlight w:val="none"/>
        </w:rPr>
        <w:t>主</w:t>
      </w:r>
      <w:r>
        <w:rPr>
          <w:rFonts w:hint="eastAsia" w:ascii="宋体" w:hAnsi="宋体" w:eastAsia="宋体" w:cs="宋体"/>
          <w:b/>
          <w:bCs/>
          <w:sz w:val="24"/>
          <w:szCs w:val="24"/>
          <w:highlight w:val="none"/>
          <w:lang w:val="en-US" w:eastAsia="zh-CN"/>
        </w:rPr>
        <w:t>次</w:t>
      </w:r>
      <w:r>
        <w:rPr>
          <w:rFonts w:hint="eastAsia" w:ascii="宋体" w:hAnsi="宋体" w:eastAsia="宋体" w:cs="宋体"/>
          <w:b/>
          <w:bCs/>
          <w:sz w:val="24"/>
          <w:szCs w:val="24"/>
          <w:highlight w:val="none"/>
        </w:rPr>
        <w:t>干道清扫</w:t>
      </w:r>
      <w:r>
        <w:rPr>
          <w:rFonts w:hint="eastAsia" w:ascii="宋体" w:hAnsi="宋体" w:eastAsia="宋体" w:cs="宋体"/>
          <w:b/>
          <w:bCs/>
          <w:sz w:val="24"/>
          <w:szCs w:val="24"/>
          <w:highlight w:val="none"/>
          <w:lang w:val="en-US" w:eastAsia="zh-CN"/>
        </w:rPr>
        <w:t>管护</w:t>
      </w:r>
    </w:p>
    <w:p>
      <w:pPr>
        <w:numPr>
          <w:ilvl w:val="2"/>
          <w:numId w:val="4"/>
        </w:numPr>
        <w:ind w:left="8" w:leftChars="0" w:hanging="8" w:firstLineChars="0"/>
        <w:rPr>
          <w:rFonts w:hint="eastAsia" w:ascii="宋体" w:hAnsi="宋体" w:eastAsia="宋体" w:cs="宋体"/>
          <w:sz w:val="24"/>
          <w:szCs w:val="24"/>
          <w:highlight w:val="none"/>
        </w:rPr>
      </w:pPr>
      <w:r>
        <w:rPr>
          <w:rFonts w:hint="eastAsia" w:ascii="宋体" w:hAnsi="宋体" w:eastAsia="宋体" w:cs="宋体"/>
          <w:b/>
          <w:bCs/>
          <w:sz w:val="24"/>
          <w:szCs w:val="24"/>
          <w:highlight w:val="none"/>
          <w:lang w:val="en-US" w:eastAsia="zh-CN"/>
        </w:rPr>
        <w:t>管理</w:t>
      </w:r>
      <w:r>
        <w:rPr>
          <w:rFonts w:hint="eastAsia" w:ascii="宋体" w:hAnsi="宋体" w:eastAsia="宋体" w:cs="宋体"/>
          <w:b/>
          <w:bCs/>
          <w:sz w:val="24"/>
          <w:szCs w:val="24"/>
          <w:highlight w:val="none"/>
        </w:rPr>
        <w:t>要求</w:t>
      </w:r>
      <w:r>
        <w:rPr>
          <w:rFonts w:hint="eastAsia" w:ascii="宋体" w:hAnsi="宋体" w:eastAsia="宋体" w:cs="宋体"/>
          <w:b/>
          <w:bCs/>
          <w:sz w:val="24"/>
          <w:szCs w:val="24"/>
          <w:highlight w:val="none"/>
          <w:lang w:eastAsia="zh-CN"/>
        </w:rPr>
        <w:t>：</w:t>
      </w:r>
      <w:r>
        <w:rPr>
          <w:rFonts w:hint="eastAsia" w:ascii="宋体" w:hAnsi="宋体" w:eastAsia="宋体" w:cs="宋体"/>
          <w:sz w:val="24"/>
          <w:szCs w:val="24"/>
          <w:highlight w:val="none"/>
        </w:rPr>
        <w:t>严格按照住建部2022年3月发布的《城市街道清扫保洁与质量评价标准》规定进行规范作业，负责所管辖范围内市政道路、广场、公厕等市政公共区域的环卫清扫保洁工作，包括“牛皮癣”清理、下水口沉池清理、道路路面洒水和冲洗、环卫设施和设备的清洗、行车道和人行道等地段的清扫保洁及扬尘治理、</w:t>
      </w:r>
      <w:r>
        <w:rPr>
          <w:rFonts w:hint="eastAsia" w:ascii="宋体" w:hAnsi="宋体" w:eastAsia="宋体" w:cs="宋体"/>
          <w:sz w:val="24"/>
          <w:szCs w:val="24"/>
          <w:highlight w:val="none"/>
          <w:lang w:eastAsia="zh-CN"/>
        </w:rPr>
        <w:t>城市管理</w:t>
      </w:r>
      <w:r>
        <w:rPr>
          <w:rFonts w:hint="eastAsia" w:ascii="宋体" w:hAnsi="宋体" w:eastAsia="宋体" w:cs="宋体"/>
          <w:sz w:val="24"/>
          <w:szCs w:val="24"/>
          <w:highlight w:val="none"/>
        </w:rPr>
        <w:t>考核整改等工作。</w:t>
      </w:r>
    </w:p>
    <w:p>
      <w:pPr>
        <w:numPr>
          <w:ilvl w:val="2"/>
          <w:numId w:val="4"/>
        </w:numPr>
        <w:ind w:left="8" w:leftChars="0" w:hanging="8" w:firstLineChars="0"/>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实施方案</w:t>
      </w:r>
    </w:p>
    <w:p>
      <w:pPr>
        <w:numPr>
          <w:ilvl w:val="3"/>
          <w:numId w:val="5"/>
        </w:numPr>
        <w:ind w:left="1213" w:leftChars="0" w:hanging="1213"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工作范围：对太湖港街道集镇主次干道</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绿化带</w:t>
      </w:r>
      <w:r>
        <w:rPr>
          <w:rFonts w:hint="eastAsia" w:ascii="宋体" w:hAnsi="宋体" w:eastAsia="宋体" w:cs="宋体"/>
          <w:sz w:val="24"/>
          <w:szCs w:val="24"/>
          <w:highlight w:val="none"/>
        </w:rPr>
        <w:t>进行清扫</w:t>
      </w:r>
      <w:r>
        <w:rPr>
          <w:rFonts w:hint="eastAsia" w:ascii="宋体" w:hAnsi="宋体" w:eastAsia="宋体" w:cs="宋体"/>
          <w:sz w:val="24"/>
          <w:szCs w:val="24"/>
          <w:highlight w:val="none"/>
          <w:lang w:val="en-US" w:eastAsia="zh-CN"/>
        </w:rPr>
        <w:t>管护</w:t>
      </w:r>
      <w:r>
        <w:rPr>
          <w:rFonts w:hint="eastAsia" w:ascii="宋体" w:hAnsi="宋体" w:eastAsia="宋体" w:cs="宋体"/>
          <w:sz w:val="24"/>
          <w:szCs w:val="24"/>
          <w:highlight w:val="none"/>
          <w:lang w:eastAsia="zh-CN"/>
        </w:rPr>
        <w:t>等工作</w:t>
      </w:r>
      <w:r>
        <w:rPr>
          <w:rFonts w:hint="eastAsia" w:ascii="宋体" w:hAnsi="宋体" w:eastAsia="宋体" w:cs="宋体"/>
          <w:sz w:val="24"/>
          <w:szCs w:val="24"/>
          <w:highlight w:val="none"/>
        </w:rPr>
        <w:t>。</w:t>
      </w:r>
    </w:p>
    <w:tbl>
      <w:tblPr>
        <w:tblStyle w:val="17"/>
        <w:tblW w:w="90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605"/>
        <w:gridCol w:w="1005"/>
        <w:gridCol w:w="1155"/>
        <w:gridCol w:w="1290"/>
        <w:gridCol w:w="1365"/>
        <w:gridCol w:w="1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pPr>
              <w:widowControl w:val="0"/>
              <w:tabs>
                <w:tab w:val="left" w:pos="615"/>
              </w:tabs>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序号</w:t>
            </w:r>
          </w:p>
        </w:tc>
        <w:tc>
          <w:tcPr>
            <w:tcW w:w="1605" w:type="dxa"/>
            <w:vAlign w:val="center"/>
          </w:tcPr>
          <w:p>
            <w:pPr>
              <w:widowControl w:val="0"/>
              <w:tabs>
                <w:tab w:val="left" w:pos="615"/>
              </w:tabs>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道路名称</w:t>
            </w:r>
          </w:p>
        </w:tc>
        <w:tc>
          <w:tcPr>
            <w:tcW w:w="1005" w:type="dxa"/>
            <w:vAlign w:val="center"/>
          </w:tcPr>
          <w:p>
            <w:pPr>
              <w:widowControl w:val="0"/>
              <w:tabs>
                <w:tab w:val="left" w:pos="615"/>
              </w:tabs>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长 度（米）</w:t>
            </w:r>
          </w:p>
        </w:tc>
        <w:tc>
          <w:tcPr>
            <w:tcW w:w="1155" w:type="dxa"/>
            <w:vAlign w:val="center"/>
          </w:tcPr>
          <w:p>
            <w:pPr>
              <w:widowControl w:val="0"/>
              <w:tabs>
                <w:tab w:val="left" w:pos="615"/>
              </w:tabs>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宽度（米）</w:t>
            </w:r>
          </w:p>
        </w:tc>
        <w:tc>
          <w:tcPr>
            <w:tcW w:w="1290" w:type="dxa"/>
            <w:vAlign w:val="center"/>
          </w:tcPr>
          <w:p>
            <w:pPr>
              <w:widowControl w:val="0"/>
              <w:tabs>
                <w:tab w:val="left" w:pos="615"/>
              </w:tabs>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道路等级</w:t>
            </w:r>
          </w:p>
        </w:tc>
        <w:tc>
          <w:tcPr>
            <w:tcW w:w="1365" w:type="dxa"/>
            <w:vAlign w:val="center"/>
          </w:tcPr>
          <w:p>
            <w:pPr>
              <w:widowControl w:val="0"/>
              <w:tabs>
                <w:tab w:val="left" w:pos="615"/>
              </w:tabs>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清扫总面积（㎡）</w:t>
            </w:r>
          </w:p>
        </w:tc>
        <w:tc>
          <w:tcPr>
            <w:tcW w:w="1905" w:type="dxa"/>
            <w:vAlign w:val="center"/>
          </w:tcPr>
          <w:p>
            <w:pPr>
              <w:widowControl w:val="0"/>
              <w:tabs>
                <w:tab w:val="left" w:pos="615"/>
              </w:tabs>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pPr>
              <w:widowControl w:val="0"/>
              <w:tabs>
                <w:tab w:val="left" w:pos="615"/>
              </w:tabs>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p>
        </w:tc>
        <w:tc>
          <w:tcPr>
            <w:tcW w:w="1605" w:type="dxa"/>
            <w:vAlign w:val="center"/>
          </w:tcPr>
          <w:p>
            <w:pPr>
              <w:widowControl w:val="0"/>
              <w:tabs>
                <w:tab w:val="left" w:pos="615"/>
              </w:tabs>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太湖路</w:t>
            </w:r>
          </w:p>
        </w:tc>
        <w:tc>
          <w:tcPr>
            <w:tcW w:w="1005" w:type="dxa"/>
            <w:vAlign w:val="center"/>
          </w:tcPr>
          <w:p>
            <w:pPr>
              <w:widowControl w:val="0"/>
              <w:tabs>
                <w:tab w:val="left" w:pos="615"/>
              </w:tabs>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2000</w:t>
            </w:r>
          </w:p>
        </w:tc>
        <w:tc>
          <w:tcPr>
            <w:tcW w:w="1155" w:type="dxa"/>
            <w:vAlign w:val="center"/>
          </w:tcPr>
          <w:p>
            <w:pPr>
              <w:widowControl w:val="0"/>
              <w:tabs>
                <w:tab w:val="left" w:pos="615"/>
              </w:tabs>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0</w:t>
            </w:r>
          </w:p>
        </w:tc>
        <w:tc>
          <w:tcPr>
            <w:tcW w:w="1290" w:type="dxa"/>
            <w:vAlign w:val="center"/>
          </w:tcPr>
          <w:p>
            <w:pPr>
              <w:widowControl w:val="0"/>
              <w:tabs>
                <w:tab w:val="left" w:pos="615"/>
              </w:tabs>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三级道路</w:t>
            </w:r>
          </w:p>
        </w:tc>
        <w:tc>
          <w:tcPr>
            <w:tcW w:w="1365" w:type="dxa"/>
            <w:vAlign w:val="center"/>
          </w:tcPr>
          <w:p>
            <w:pPr>
              <w:widowControl w:val="0"/>
              <w:tabs>
                <w:tab w:val="left" w:pos="615"/>
              </w:tabs>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0</w:t>
            </w:r>
            <w:r>
              <w:rPr>
                <w:rFonts w:hint="eastAsia" w:ascii="宋体" w:hAnsi="宋体" w:eastAsia="宋体" w:cs="宋体"/>
                <w:sz w:val="24"/>
                <w:szCs w:val="24"/>
                <w:highlight w:val="none"/>
              </w:rPr>
              <w:t>0000</w:t>
            </w:r>
          </w:p>
        </w:tc>
        <w:tc>
          <w:tcPr>
            <w:tcW w:w="1905" w:type="dxa"/>
            <w:vAlign w:val="center"/>
          </w:tcPr>
          <w:p>
            <w:pPr>
              <w:widowControl w:val="0"/>
              <w:tabs>
                <w:tab w:val="left" w:pos="615"/>
              </w:tabs>
              <w:jc w:val="center"/>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pPr>
              <w:widowControl w:val="0"/>
              <w:tabs>
                <w:tab w:val="left" w:pos="615"/>
              </w:tabs>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2</w:t>
            </w:r>
          </w:p>
        </w:tc>
        <w:tc>
          <w:tcPr>
            <w:tcW w:w="1605" w:type="dxa"/>
            <w:vAlign w:val="center"/>
          </w:tcPr>
          <w:p>
            <w:pPr>
              <w:widowControl w:val="0"/>
              <w:tabs>
                <w:tab w:val="left" w:pos="615"/>
              </w:tabs>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兴发路</w:t>
            </w:r>
          </w:p>
        </w:tc>
        <w:tc>
          <w:tcPr>
            <w:tcW w:w="1005" w:type="dxa"/>
            <w:vAlign w:val="center"/>
          </w:tcPr>
          <w:p>
            <w:pPr>
              <w:widowControl w:val="0"/>
              <w:tabs>
                <w:tab w:val="left" w:pos="615"/>
              </w:tabs>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1500</w:t>
            </w:r>
          </w:p>
        </w:tc>
        <w:tc>
          <w:tcPr>
            <w:tcW w:w="1155" w:type="dxa"/>
            <w:vAlign w:val="center"/>
          </w:tcPr>
          <w:p>
            <w:pPr>
              <w:widowControl w:val="0"/>
              <w:tabs>
                <w:tab w:val="left" w:pos="615"/>
              </w:tabs>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30</w:t>
            </w:r>
          </w:p>
        </w:tc>
        <w:tc>
          <w:tcPr>
            <w:tcW w:w="1290" w:type="dxa"/>
            <w:vAlign w:val="center"/>
          </w:tcPr>
          <w:p>
            <w:pPr>
              <w:widowControl w:val="0"/>
              <w:tabs>
                <w:tab w:val="left" w:pos="615"/>
              </w:tabs>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四</w:t>
            </w:r>
            <w:r>
              <w:rPr>
                <w:rFonts w:hint="eastAsia" w:ascii="宋体" w:hAnsi="宋体" w:eastAsia="宋体" w:cs="宋体"/>
                <w:sz w:val="24"/>
                <w:szCs w:val="24"/>
                <w:highlight w:val="none"/>
                <w:lang w:eastAsia="zh-CN"/>
              </w:rPr>
              <w:t>级道路</w:t>
            </w:r>
          </w:p>
        </w:tc>
        <w:tc>
          <w:tcPr>
            <w:tcW w:w="1365" w:type="dxa"/>
            <w:vAlign w:val="center"/>
          </w:tcPr>
          <w:p>
            <w:pPr>
              <w:widowControl w:val="0"/>
              <w:tabs>
                <w:tab w:val="left" w:pos="615"/>
              </w:tabs>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45000</w:t>
            </w:r>
          </w:p>
        </w:tc>
        <w:tc>
          <w:tcPr>
            <w:tcW w:w="1905" w:type="dxa"/>
            <w:vAlign w:val="center"/>
          </w:tcPr>
          <w:p>
            <w:pPr>
              <w:widowControl w:val="0"/>
              <w:tabs>
                <w:tab w:val="left" w:pos="615"/>
              </w:tabs>
              <w:jc w:val="center"/>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pPr>
              <w:widowControl w:val="0"/>
              <w:tabs>
                <w:tab w:val="left" w:pos="615"/>
              </w:tabs>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3</w:t>
            </w:r>
          </w:p>
        </w:tc>
        <w:tc>
          <w:tcPr>
            <w:tcW w:w="1605" w:type="dxa"/>
            <w:vAlign w:val="center"/>
          </w:tcPr>
          <w:p>
            <w:pPr>
              <w:widowControl w:val="0"/>
              <w:tabs>
                <w:tab w:val="left" w:pos="615"/>
              </w:tabs>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太朱路</w:t>
            </w:r>
          </w:p>
        </w:tc>
        <w:tc>
          <w:tcPr>
            <w:tcW w:w="1005" w:type="dxa"/>
            <w:vAlign w:val="center"/>
          </w:tcPr>
          <w:p>
            <w:pPr>
              <w:widowControl w:val="0"/>
              <w:tabs>
                <w:tab w:val="left" w:pos="615"/>
              </w:tabs>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700</w:t>
            </w:r>
          </w:p>
        </w:tc>
        <w:tc>
          <w:tcPr>
            <w:tcW w:w="1155" w:type="dxa"/>
            <w:vAlign w:val="center"/>
          </w:tcPr>
          <w:p>
            <w:pPr>
              <w:widowControl w:val="0"/>
              <w:tabs>
                <w:tab w:val="left" w:pos="615"/>
              </w:tabs>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30</w:t>
            </w:r>
          </w:p>
        </w:tc>
        <w:tc>
          <w:tcPr>
            <w:tcW w:w="1290" w:type="dxa"/>
            <w:vAlign w:val="center"/>
          </w:tcPr>
          <w:p>
            <w:pPr>
              <w:widowControl w:val="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四</w:t>
            </w:r>
            <w:r>
              <w:rPr>
                <w:rFonts w:hint="eastAsia" w:ascii="宋体" w:hAnsi="宋体" w:eastAsia="宋体" w:cs="宋体"/>
                <w:sz w:val="24"/>
                <w:szCs w:val="24"/>
                <w:highlight w:val="none"/>
                <w:lang w:eastAsia="zh-CN"/>
              </w:rPr>
              <w:t>级道路</w:t>
            </w:r>
          </w:p>
        </w:tc>
        <w:tc>
          <w:tcPr>
            <w:tcW w:w="1365" w:type="dxa"/>
            <w:vAlign w:val="center"/>
          </w:tcPr>
          <w:p>
            <w:pPr>
              <w:widowControl w:val="0"/>
              <w:tabs>
                <w:tab w:val="left" w:pos="615"/>
              </w:tabs>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21000</w:t>
            </w:r>
          </w:p>
        </w:tc>
        <w:tc>
          <w:tcPr>
            <w:tcW w:w="1905" w:type="dxa"/>
            <w:vAlign w:val="center"/>
          </w:tcPr>
          <w:p>
            <w:pPr>
              <w:widowControl w:val="0"/>
              <w:tabs>
                <w:tab w:val="left" w:pos="615"/>
              </w:tabs>
              <w:jc w:val="center"/>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pPr>
              <w:widowControl w:val="0"/>
              <w:tabs>
                <w:tab w:val="left" w:pos="615"/>
              </w:tabs>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4</w:t>
            </w:r>
          </w:p>
        </w:tc>
        <w:tc>
          <w:tcPr>
            <w:tcW w:w="1605" w:type="dxa"/>
            <w:vAlign w:val="center"/>
          </w:tcPr>
          <w:p>
            <w:pPr>
              <w:widowControl w:val="0"/>
              <w:tabs>
                <w:tab w:val="left" w:pos="615"/>
              </w:tabs>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育才路</w:t>
            </w:r>
          </w:p>
        </w:tc>
        <w:tc>
          <w:tcPr>
            <w:tcW w:w="1005" w:type="dxa"/>
            <w:vAlign w:val="center"/>
          </w:tcPr>
          <w:p>
            <w:pPr>
              <w:widowControl w:val="0"/>
              <w:tabs>
                <w:tab w:val="left" w:pos="615"/>
              </w:tabs>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1500</w:t>
            </w:r>
          </w:p>
        </w:tc>
        <w:tc>
          <w:tcPr>
            <w:tcW w:w="1155" w:type="dxa"/>
            <w:vAlign w:val="center"/>
          </w:tcPr>
          <w:p>
            <w:pPr>
              <w:widowControl w:val="0"/>
              <w:tabs>
                <w:tab w:val="left" w:pos="615"/>
              </w:tabs>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30</w:t>
            </w:r>
          </w:p>
        </w:tc>
        <w:tc>
          <w:tcPr>
            <w:tcW w:w="1290" w:type="dxa"/>
            <w:vAlign w:val="center"/>
          </w:tcPr>
          <w:p>
            <w:pPr>
              <w:widowControl w:val="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四</w:t>
            </w:r>
            <w:r>
              <w:rPr>
                <w:rFonts w:hint="eastAsia" w:ascii="宋体" w:hAnsi="宋体" w:eastAsia="宋体" w:cs="宋体"/>
                <w:sz w:val="24"/>
                <w:szCs w:val="24"/>
                <w:highlight w:val="none"/>
                <w:lang w:eastAsia="zh-CN"/>
              </w:rPr>
              <w:t>级道路</w:t>
            </w:r>
          </w:p>
        </w:tc>
        <w:tc>
          <w:tcPr>
            <w:tcW w:w="1365" w:type="dxa"/>
            <w:vAlign w:val="center"/>
          </w:tcPr>
          <w:p>
            <w:pPr>
              <w:widowControl w:val="0"/>
              <w:tabs>
                <w:tab w:val="left" w:pos="615"/>
              </w:tabs>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45000</w:t>
            </w:r>
          </w:p>
        </w:tc>
        <w:tc>
          <w:tcPr>
            <w:tcW w:w="1905" w:type="dxa"/>
            <w:vAlign w:val="center"/>
          </w:tcPr>
          <w:p>
            <w:pPr>
              <w:widowControl w:val="0"/>
              <w:tabs>
                <w:tab w:val="left" w:pos="615"/>
              </w:tabs>
              <w:jc w:val="center"/>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pPr>
              <w:widowControl w:val="0"/>
              <w:tabs>
                <w:tab w:val="left" w:pos="615"/>
              </w:tabs>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5</w:t>
            </w:r>
          </w:p>
        </w:tc>
        <w:tc>
          <w:tcPr>
            <w:tcW w:w="1605" w:type="dxa"/>
            <w:vAlign w:val="center"/>
          </w:tcPr>
          <w:p>
            <w:pPr>
              <w:widowControl w:val="0"/>
              <w:tabs>
                <w:tab w:val="left" w:pos="615"/>
              </w:tabs>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人民路主通道</w:t>
            </w:r>
          </w:p>
        </w:tc>
        <w:tc>
          <w:tcPr>
            <w:tcW w:w="1005" w:type="dxa"/>
            <w:vAlign w:val="center"/>
          </w:tcPr>
          <w:p>
            <w:pPr>
              <w:widowControl w:val="0"/>
              <w:tabs>
                <w:tab w:val="left" w:pos="615"/>
              </w:tabs>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1300</w:t>
            </w:r>
          </w:p>
        </w:tc>
        <w:tc>
          <w:tcPr>
            <w:tcW w:w="1155" w:type="dxa"/>
            <w:vAlign w:val="center"/>
          </w:tcPr>
          <w:p>
            <w:pPr>
              <w:widowControl w:val="0"/>
              <w:tabs>
                <w:tab w:val="left" w:pos="615"/>
              </w:tabs>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20</w:t>
            </w:r>
          </w:p>
        </w:tc>
        <w:tc>
          <w:tcPr>
            <w:tcW w:w="1290" w:type="dxa"/>
            <w:vAlign w:val="center"/>
          </w:tcPr>
          <w:p>
            <w:pPr>
              <w:widowControl w:val="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四</w:t>
            </w:r>
            <w:r>
              <w:rPr>
                <w:rFonts w:hint="eastAsia" w:ascii="宋体" w:hAnsi="宋体" w:eastAsia="宋体" w:cs="宋体"/>
                <w:sz w:val="24"/>
                <w:szCs w:val="24"/>
                <w:highlight w:val="none"/>
                <w:lang w:eastAsia="zh-CN"/>
              </w:rPr>
              <w:t>级道路</w:t>
            </w:r>
          </w:p>
        </w:tc>
        <w:tc>
          <w:tcPr>
            <w:tcW w:w="1365" w:type="dxa"/>
            <w:vAlign w:val="center"/>
          </w:tcPr>
          <w:p>
            <w:pPr>
              <w:widowControl w:val="0"/>
              <w:tabs>
                <w:tab w:val="left" w:pos="615"/>
              </w:tabs>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26000</w:t>
            </w:r>
          </w:p>
        </w:tc>
        <w:tc>
          <w:tcPr>
            <w:tcW w:w="1905" w:type="dxa"/>
            <w:vAlign w:val="center"/>
          </w:tcPr>
          <w:p>
            <w:pPr>
              <w:widowControl w:val="0"/>
              <w:tabs>
                <w:tab w:val="left" w:pos="615"/>
              </w:tabs>
              <w:jc w:val="center"/>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Align w:val="center"/>
          </w:tcPr>
          <w:p>
            <w:pPr>
              <w:widowControl w:val="0"/>
              <w:tabs>
                <w:tab w:val="left" w:pos="615"/>
              </w:tabs>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6</w:t>
            </w:r>
          </w:p>
        </w:tc>
        <w:tc>
          <w:tcPr>
            <w:tcW w:w="1605" w:type="dxa"/>
            <w:vAlign w:val="center"/>
          </w:tcPr>
          <w:p>
            <w:pPr>
              <w:widowControl w:val="0"/>
              <w:tabs>
                <w:tab w:val="left" w:pos="615"/>
              </w:tabs>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彭家场小区主通道</w:t>
            </w:r>
          </w:p>
        </w:tc>
        <w:tc>
          <w:tcPr>
            <w:tcW w:w="1005" w:type="dxa"/>
            <w:vAlign w:val="center"/>
          </w:tcPr>
          <w:p>
            <w:pPr>
              <w:widowControl w:val="0"/>
              <w:tabs>
                <w:tab w:val="left" w:pos="615"/>
              </w:tabs>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500</w:t>
            </w:r>
          </w:p>
        </w:tc>
        <w:tc>
          <w:tcPr>
            <w:tcW w:w="1155" w:type="dxa"/>
            <w:vAlign w:val="center"/>
          </w:tcPr>
          <w:p>
            <w:pPr>
              <w:widowControl w:val="0"/>
              <w:tabs>
                <w:tab w:val="left" w:pos="615"/>
              </w:tabs>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20</w:t>
            </w:r>
          </w:p>
        </w:tc>
        <w:tc>
          <w:tcPr>
            <w:tcW w:w="1290" w:type="dxa"/>
            <w:vAlign w:val="center"/>
          </w:tcPr>
          <w:p>
            <w:pPr>
              <w:widowControl w:val="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四</w:t>
            </w:r>
            <w:r>
              <w:rPr>
                <w:rFonts w:hint="eastAsia" w:ascii="宋体" w:hAnsi="宋体" w:eastAsia="宋体" w:cs="宋体"/>
                <w:sz w:val="24"/>
                <w:szCs w:val="24"/>
                <w:highlight w:val="none"/>
                <w:lang w:eastAsia="zh-CN"/>
              </w:rPr>
              <w:t>级道路</w:t>
            </w:r>
          </w:p>
        </w:tc>
        <w:tc>
          <w:tcPr>
            <w:tcW w:w="1365" w:type="dxa"/>
            <w:vAlign w:val="center"/>
          </w:tcPr>
          <w:p>
            <w:pPr>
              <w:widowControl w:val="0"/>
              <w:tabs>
                <w:tab w:val="left" w:pos="615"/>
              </w:tabs>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10000</w:t>
            </w:r>
          </w:p>
        </w:tc>
        <w:tc>
          <w:tcPr>
            <w:tcW w:w="1905" w:type="dxa"/>
            <w:vAlign w:val="center"/>
          </w:tcPr>
          <w:p>
            <w:pPr>
              <w:widowControl w:val="0"/>
              <w:tabs>
                <w:tab w:val="left" w:pos="615"/>
              </w:tabs>
              <w:jc w:val="center"/>
              <w:rPr>
                <w:rFonts w:hint="eastAsia" w:ascii="宋体" w:hAnsi="宋体" w:eastAsia="宋体" w:cs="宋体"/>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6" w:type="dxa"/>
            <w:vAlign w:val="center"/>
          </w:tcPr>
          <w:p>
            <w:pPr>
              <w:widowControl w:val="0"/>
              <w:tabs>
                <w:tab w:val="left" w:pos="615"/>
              </w:tabs>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w:t>
            </w:r>
          </w:p>
        </w:tc>
        <w:tc>
          <w:tcPr>
            <w:tcW w:w="1605" w:type="dxa"/>
            <w:vAlign w:val="center"/>
          </w:tcPr>
          <w:p>
            <w:pPr>
              <w:widowControl w:val="0"/>
              <w:tabs>
                <w:tab w:val="left" w:pos="615"/>
              </w:tabs>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桃花路</w:t>
            </w:r>
          </w:p>
        </w:tc>
        <w:tc>
          <w:tcPr>
            <w:tcW w:w="1005" w:type="dxa"/>
            <w:vAlign w:val="center"/>
          </w:tcPr>
          <w:p>
            <w:pPr>
              <w:widowControl w:val="0"/>
              <w:tabs>
                <w:tab w:val="left" w:pos="615"/>
              </w:tabs>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800</w:t>
            </w:r>
          </w:p>
        </w:tc>
        <w:tc>
          <w:tcPr>
            <w:tcW w:w="1155" w:type="dxa"/>
            <w:vAlign w:val="center"/>
          </w:tcPr>
          <w:p>
            <w:pPr>
              <w:widowControl w:val="0"/>
              <w:tabs>
                <w:tab w:val="left" w:pos="615"/>
              </w:tabs>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10</w:t>
            </w:r>
          </w:p>
        </w:tc>
        <w:tc>
          <w:tcPr>
            <w:tcW w:w="1290" w:type="dxa"/>
            <w:vAlign w:val="center"/>
          </w:tcPr>
          <w:p>
            <w:pPr>
              <w:widowControl w:val="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四</w:t>
            </w:r>
            <w:r>
              <w:rPr>
                <w:rFonts w:hint="eastAsia" w:ascii="宋体" w:hAnsi="宋体" w:eastAsia="宋体" w:cs="宋体"/>
                <w:sz w:val="24"/>
                <w:szCs w:val="24"/>
                <w:highlight w:val="none"/>
                <w:lang w:eastAsia="zh-CN"/>
              </w:rPr>
              <w:t>级道路</w:t>
            </w:r>
          </w:p>
        </w:tc>
        <w:tc>
          <w:tcPr>
            <w:tcW w:w="1365" w:type="dxa"/>
            <w:vAlign w:val="center"/>
          </w:tcPr>
          <w:p>
            <w:pPr>
              <w:widowControl w:val="0"/>
              <w:tabs>
                <w:tab w:val="left" w:pos="615"/>
              </w:tabs>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8000</w:t>
            </w:r>
          </w:p>
        </w:tc>
        <w:tc>
          <w:tcPr>
            <w:tcW w:w="1905" w:type="dxa"/>
            <w:vAlign w:val="center"/>
          </w:tcPr>
          <w:p>
            <w:pPr>
              <w:widowControl w:val="0"/>
              <w:tabs>
                <w:tab w:val="left" w:pos="615"/>
              </w:tabs>
              <w:jc w:val="center"/>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6" w:type="dxa"/>
            <w:vAlign w:val="center"/>
          </w:tcPr>
          <w:p>
            <w:pPr>
              <w:widowControl w:val="0"/>
              <w:tabs>
                <w:tab w:val="left" w:pos="615"/>
              </w:tabs>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w:t>
            </w:r>
          </w:p>
        </w:tc>
        <w:tc>
          <w:tcPr>
            <w:tcW w:w="1605" w:type="dxa"/>
            <w:vAlign w:val="center"/>
          </w:tcPr>
          <w:p>
            <w:pPr>
              <w:widowControl w:val="0"/>
              <w:tabs>
                <w:tab w:val="left" w:pos="615"/>
              </w:tabs>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绿化带</w:t>
            </w:r>
          </w:p>
        </w:tc>
        <w:tc>
          <w:tcPr>
            <w:tcW w:w="1005" w:type="dxa"/>
            <w:vAlign w:val="center"/>
          </w:tcPr>
          <w:p>
            <w:pPr>
              <w:widowControl w:val="0"/>
              <w:tabs>
                <w:tab w:val="left" w:pos="615"/>
              </w:tabs>
              <w:jc w:val="center"/>
              <w:rPr>
                <w:rFonts w:hint="eastAsia" w:ascii="宋体" w:hAnsi="宋体" w:eastAsia="宋体" w:cs="宋体"/>
                <w:sz w:val="24"/>
                <w:szCs w:val="24"/>
                <w:highlight w:val="none"/>
                <w:lang w:val="en-US" w:eastAsia="zh-CN"/>
              </w:rPr>
            </w:pPr>
          </w:p>
        </w:tc>
        <w:tc>
          <w:tcPr>
            <w:tcW w:w="1155" w:type="dxa"/>
            <w:vAlign w:val="center"/>
          </w:tcPr>
          <w:p>
            <w:pPr>
              <w:widowControl w:val="0"/>
              <w:tabs>
                <w:tab w:val="left" w:pos="615"/>
              </w:tabs>
              <w:jc w:val="center"/>
              <w:rPr>
                <w:rFonts w:hint="eastAsia" w:ascii="宋体" w:hAnsi="宋体" w:eastAsia="宋体" w:cs="宋体"/>
                <w:sz w:val="24"/>
                <w:szCs w:val="24"/>
                <w:highlight w:val="none"/>
                <w:lang w:val="en-US" w:eastAsia="zh-CN"/>
              </w:rPr>
            </w:pPr>
          </w:p>
        </w:tc>
        <w:tc>
          <w:tcPr>
            <w:tcW w:w="1290" w:type="dxa"/>
            <w:vAlign w:val="center"/>
          </w:tcPr>
          <w:p>
            <w:pPr>
              <w:widowControl w:val="0"/>
              <w:tabs>
                <w:tab w:val="left" w:pos="615"/>
              </w:tabs>
              <w:jc w:val="center"/>
              <w:rPr>
                <w:rFonts w:hint="eastAsia" w:ascii="宋体" w:hAnsi="宋体" w:eastAsia="宋体" w:cs="宋体"/>
                <w:sz w:val="24"/>
                <w:szCs w:val="24"/>
                <w:highlight w:val="none"/>
                <w:lang w:val="en-US" w:eastAsia="zh-CN"/>
              </w:rPr>
            </w:pPr>
          </w:p>
        </w:tc>
        <w:tc>
          <w:tcPr>
            <w:tcW w:w="1365" w:type="dxa"/>
            <w:vAlign w:val="center"/>
          </w:tcPr>
          <w:p>
            <w:pPr>
              <w:widowControl w:val="0"/>
              <w:tabs>
                <w:tab w:val="left" w:pos="615"/>
              </w:tabs>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8800</w:t>
            </w:r>
          </w:p>
        </w:tc>
        <w:tc>
          <w:tcPr>
            <w:tcW w:w="1905" w:type="dxa"/>
            <w:vAlign w:val="center"/>
          </w:tcPr>
          <w:p>
            <w:pPr>
              <w:widowControl w:val="0"/>
              <w:tabs>
                <w:tab w:val="left" w:pos="615"/>
              </w:tabs>
              <w:jc w:val="center"/>
              <w:rPr>
                <w:rFonts w:hint="eastAsia" w:ascii="宋体" w:hAnsi="宋体" w:eastAsia="宋体" w:cs="宋体"/>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31" w:type="dxa"/>
            <w:gridSpan w:val="5"/>
            <w:vAlign w:val="center"/>
          </w:tcPr>
          <w:p>
            <w:pPr>
              <w:widowControl w:val="0"/>
              <w:tabs>
                <w:tab w:val="left" w:pos="615"/>
              </w:tabs>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合计</w:t>
            </w:r>
          </w:p>
        </w:tc>
        <w:tc>
          <w:tcPr>
            <w:tcW w:w="1365" w:type="dxa"/>
            <w:vAlign w:val="center"/>
          </w:tcPr>
          <w:p>
            <w:pPr>
              <w:widowControl w:val="0"/>
              <w:tabs>
                <w:tab w:val="left" w:pos="615"/>
              </w:tabs>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255000</w:t>
            </w:r>
          </w:p>
        </w:tc>
        <w:tc>
          <w:tcPr>
            <w:tcW w:w="1905" w:type="dxa"/>
            <w:vAlign w:val="center"/>
          </w:tcPr>
          <w:p>
            <w:pPr>
              <w:widowControl w:val="0"/>
              <w:tabs>
                <w:tab w:val="left" w:pos="615"/>
              </w:tabs>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eastAsia="zh-CN"/>
              </w:rPr>
              <w:t>其中含绿化带</w:t>
            </w:r>
            <w:r>
              <w:rPr>
                <w:rFonts w:hint="eastAsia" w:ascii="宋体" w:hAnsi="宋体" w:eastAsia="宋体" w:cs="宋体"/>
                <w:sz w:val="24"/>
                <w:szCs w:val="24"/>
                <w:highlight w:val="none"/>
                <w:lang w:val="en-US" w:eastAsia="zh-CN"/>
              </w:rPr>
              <w:t>8800</w:t>
            </w:r>
            <w:r>
              <w:rPr>
                <w:rFonts w:hint="eastAsia" w:ascii="宋体" w:hAnsi="宋体" w:eastAsia="宋体" w:cs="宋体"/>
                <w:sz w:val="24"/>
                <w:szCs w:val="24"/>
                <w:highlight w:val="none"/>
              </w:rPr>
              <w:t>㎡</w:t>
            </w:r>
          </w:p>
        </w:tc>
      </w:tr>
    </w:tbl>
    <w:p>
      <w:pPr>
        <w:numPr>
          <w:ilvl w:val="3"/>
          <w:numId w:val="5"/>
        </w:numPr>
        <w:ind w:left="13" w:leftChars="0" w:hanging="13"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每天人工普扫两遍，全日保洁，道路保洁时间不低于8小时，达到“六不”、“六净”的标准。即：不见积水、不见积土、不见杂物、不漏收堆、不乱倒垃圾和不见人圩粪；路面净、路沿净、人行道净、阴井口净、树坑墙根净、果皮箱净。  </w:t>
      </w:r>
    </w:p>
    <w:p>
      <w:pPr>
        <w:numPr>
          <w:ilvl w:val="3"/>
          <w:numId w:val="5"/>
        </w:numPr>
        <w:ind w:left="13" w:leftChars="0" w:hanging="13" w:firstLineChars="0"/>
        <w:rPr>
          <w:rFonts w:hint="eastAsia" w:ascii="宋体" w:hAnsi="宋体" w:eastAsia="宋体" w:cs="宋体"/>
          <w:sz w:val="24"/>
          <w:szCs w:val="24"/>
          <w:highlight w:val="none"/>
        </w:rPr>
      </w:pPr>
      <w:r>
        <w:rPr>
          <w:rFonts w:hint="eastAsia" w:ascii="宋体" w:hAnsi="宋体" w:eastAsia="宋体" w:cs="宋体"/>
          <w:sz w:val="24"/>
          <w:szCs w:val="24"/>
          <w:highlight w:val="none"/>
        </w:rPr>
        <w:t>清扫人员务必遵守作业时间与管理制度。人员着装整洁、佩戴环卫安全标志，保持路面干净整洁，路面基本见本色。</w:t>
      </w:r>
    </w:p>
    <w:p>
      <w:pPr>
        <w:numPr>
          <w:ilvl w:val="3"/>
          <w:numId w:val="5"/>
        </w:numPr>
        <w:ind w:left="13" w:leftChars="0" w:hanging="13" w:firstLineChars="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发现道路设施包括交通标志、公共汽车停靠站、电箱、果皮箱、电话亭、花池、树木、高压电塔（杆）以及商铺、住宅、小区建筑立面有乱张贴（城市“牛皮癣”） 、涂写、刻画笔迹及其他残留现象的，要及时做好清理工作</w:t>
      </w:r>
      <w:r>
        <w:rPr>
          <w:rFonts w:hint="eastAsia" w:ascii="宋体" w:hAnsi="宋体" w:eastAsia="宋体" w:cs="宋体"/>
          <w:sz w:val="24"/>
          <w:szCs w:val="24"/>
          <w:highlight w:val="none"/>
          <w:lang w:eastAsia="zh-CN"/>
        </w:rPr>
        <w:t>。</w:t>
      </w:r>
    </w:p>
    <w:p>
      <w:pPr>
        <w:numPr>
          <w:ilvl w:val="1"/>
          <w:numId w:val="3"/>
        </w:numPr>
        <w:ind w:left="10" w:leftChars="0" w:hanging="10" w:firstLineChars="0"/>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公共厕所管护</w:t>
      </w:r>
    </w:p>
    <w:p>
      <w:pPr>
        <w:numPr>
          <w:ilvl w:val="2"/>
          <w:numId w:val="6"/>
        </w:numPr>
        <w:ind w:left="8" w:leftChars="0" w:hanging="8" w:firstLineChars="0"/>
        <w:rPr>
          <w:rFonts w:hint="eastAsia" w:ascii="宋体" w:hAnsi="宋体" w:eastAsia="宋体" w:cs="宋体"/>
          <w:sz w:val="24"/>
          <w:szCs w:val="24"/>
          <w:highlight w:val="none"/>
          <w:lang w:val="en-US" w:eastAsia="zh-CN"/>
        </w:rPr>
      </w:pPr>
      <w:r>
        <w:rPr>
          <w:rFonts w:hint="eastAsia" w:ascii="宋体" w:hAnsi="宋体" w:eastAsia="宋体" w:cs="宋体"/>
          <w:b/>
          <w:bCs/>
          <w:sz w:val="24"/>
          <w:szCs w:val="24"/>
          <w:highlight w:val="none"/>
          <w:lang w:eastAsia="zh-CN"/>
        </w:rPr>
        <w:t>工作内容</w:t>
      </w:r>
      <w:r>
        <w:rPr>
          <w:rFonts w:hint="eastAsia" w:ascii="宋体" w:hAnsi="宋体" w:eastAsia="宋体" w:cs="宋体"/>
          <w:sz w:val="24"/>
          <w:szCs w:val="24"/>
          <w:highlight w:val="none"/>
          <w:lang w:eastAsia="zh-CN"/>
        </w:rPr>
        <w:t>：太湖港街道</w:t>
      </w:r>
      <w:r>
        <w:rPr>
          <w:rFonts w:hint="eastAsia" w:ascii="宋体" w:hAnsi="宋体" w:eastAsia="宋体" w:cs="宋体"/>
          <w:sz w:val="24"/>
          <w:szCs w:val="24"/>
          <w:highlight w:val="none"/>
          <w:lang w:val="en-US" w:eastAsia="zh-CN"/>
        </w:rPr>
        <w:t>集镇</w:t>
      </w:r>
      <w:r>
        <w:rPr>
          <w:rFonts w:hint="eastAsia" w:ascii="宋体" w:hAnsi="宋体" w:eastAsia="宋体" w:cs="宋体"/>
          <w:sz w:val="24"/>
          <w:szCs w:val="24"/>
          <w:highlight w:val="none"/>
          <w:lang w:eastAsia="zh-CN"/>
        </w:rPr>
        <w:t>范围内共有三座公共厕所，分别为太湖车站厕所（蹲位</w:t>
      </w:r>
      <w:r>
        <w:rPr>
          <w:rFonts w:hint="eastAsia" w:ascii="宋体" w:hAnsi="宋体" w:eastAsia="宋体" w:cs="宋体"/>
          <w:sz w:val="24"/>
          <w:szCs w:val="24"/>
          <w:highlight w:val="none"/>
          <w:lang w:val="en-US" w:eastAsia="zh-CN"/>
        </w:rPr>
        <w:t>11个</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小便池</w:t>
      </w:r>
      <w:r>
        <w:rPr>
          <w:rFonts w:hint="eastAsia" w:ascii="宋体" w:hAnsi="宋体" w:eastAsia="宋体" w:cs="宋体"/>
          <w:sz w:val="24"/>
          <w:szCs w:val="24"/>
          <w:highlight w:val="none"/>
          <w:lang w:val="en-US" w:eastAsia="zh-CN"/>
        </w:rPr>
        <w:t>6个</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兴发路厕所（蹲位</w:t>
      </w:r>
      <w:r>
        <w:rPr>
          <w:rFonts w:hint="eastAsia" w:ascii="宋体" w:hAnsi="宋体" w:eastAsia="宋体" w:cs="宋体"/>
          <w:sz w:val="24"/>
          <w:szCs w:val="24"/>
          <w:highlight w:val="none"/>
          <w:lang w:val="en-US" w:eastAsia="zh-CN"/>
        </w:rPr>
        <w:t>11个</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小便池</w:t>
      </w:r>
      <w:r>
        <w:rPr>
          <w:rFonts w:hint="eastAsia" w:ascii="宋体" w:hAnsi="宋体" w:eastAsia="宋体" w:cs="宋体"/>
          <w:sz w:val="24"/>
          <w:szCs w:val="24"/>
          <w:highlight w:val="none"/>
          <w:lang w:val="en-US" w:eastAsia="zh-CN"/>
        </w:rPr>
        <w:t>4个</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太湖菜市场厕所</w:t>
      </w:r>
      <w:r>
        <w:rPr>
          <w:rFonts w:hint="eastAsia" w:ascii="宋体" w:hAnsi="宋体" w:eastAsia="宋体" w:cs="宋体"/>
          <w:sz w:val="24"/>
          <w:szCs w:val="24"/>
          <w:highlight w:val="none"/>
          <w:lang w:eastAsia="zh-CN"/>
        </w:rPr>
        <w:t>，按照《湖北省环境卫生工作费用定额》规定，</w:t>
      </w:r>
      <w:r>
        <w:rPr>
          <w:rFonts w:hint="eastAsia" w:ascii="宋体" w:hAnsi="宋体" w:eastAsia="宋体" w:cs="宋体"/>
          <w:sz w:val="24"/>
          <w:szCs w:val="24"/>
          <w:highlight w:val="none"/>
          <w:lang w:val="en-US" w:eastAsia="zh-CN"/>
        </w:rPr>
        <w:t>三座</w:t>
      </w:r>
      <w:r>
        <w:rPr>
          <w:rFonts w:hint="eastAsia" w:ascii="宋体" w:hAnsi="宋体" w:eastAsia="宋体" w:cs="宋体"/>
          <w:sz w:val="24"/>
          <w:szCs w:val="24"/>
          <w:highlight w:val="none"/>
          <w:lang w:eastAsia="zh-CN"/>
        </w:rPr>
        <w:t>均为三类厕所。</w:t>
      </w:r>
    </w:p>
    <w:p>
      <w:pPr>
        <w:numPr>
          <w:ilvl w:val="2"/>
          <w:numId w:val="6"/>
        </w:numPr>
        <w:ind w:left="8" w:leftChars="0" w:hanging="8" w:firstLineChars="0"/>
        <w:rPr>
          <w:rFonts w:hint="eastAsia" w:ascii="宋体" w:hAnsi="宋体" w:eastAsia="宋体" w:cs="宋体"/>
          <w:b w:val="0"/>
          <w:bCs w:val="0"/>
          <w:sz w:val="24"/>
          <w:szCs w:val="24"/>
          <w:highlight w:val="none"/>
          <w:lang w:val="en-US" w:eastAsia="zh-CN"/>
        </w:rPr>
      </w:pPr>
      <w:r>
        <w:rPr>
          <w:rFonts w:hint="eastAsia" w:ascii="宋体" w:hAnsi="宋体" w:eastAsia="宋体" w:cs="宋体"/>
          <w:b/>
          <w:bCs/>
          <w:sz w:val="24"/>
          <w:szCs w:val="24"/>
          <w:highlight w:val="none"/>
        </w:rPr>
        <w:t>管理要求</w:t>
      </w:r>
      <w:r>
        <w:rPr>
          <w:rFonts w:hint="eastAsia" w:ascii="宋体" w:hAnsi="宋体" w:eastAsia="宋体" w:cs="宋体"/>
          <w:b/>
          <w:bCs/>
          <w:sz w:val="24"/>
          <w:szCs w:val="24"/>
          <w:highlight w:val="none"/>
          <w:lang w:eastAsia="zh-CN"/>
        </w:rPr>
        <w:t>：</w:t>
      </w:r>
      <w:r>
        <w:rPr>
          <w:rFonts w:hint="eastAsia" w:ascii="宋体" w:hAnsi="宋体" w:eastAsia="宋体" w:cs="宋体"/>
          <w:b w:val="0"/>
          <w:bCs w:val="0"/>
          <w:sz w:val="24"/>
          <w:szCs w:val="24"/>
          <w:highlight w:val="none"/>
          <w:lang w:val="en-US" w:eastAsia="zh-CN"/>
        </w:rPr>
        <w:t>负责太湖港街道集镇范围内公共厕所整体运行清洁与维护及公共厕所设施设备故障维修和保养工作。</w:t>
      </w:r>
    </w:p>
    <w:p>
      <w:pPr>
        <w:numPr>
          <w:ilvl w:val="2"/>
          <w:numId w:val="6"/>
        </w:numPr>
        <w:ind w:left="8" w:leftChars="0" w:hanging="8" w:firstLineChars="0"/>
        <w:rPr>
          <w:rFonts w:hint="eastAsia" w:ascii="宋体" w:hAnsi="宋体" w:eastAsia="宋体" w:cs="宋体"/>
          <w:b/>
          <w:bCs/>
          <w:sz w:val="24"/>
          <w:szCs w:val="24"/>
          <w:highlight w:val="none"/>
          <w:lang w:eastAsia="zh-CN"/>
        </w:rPr>
      </w:pPr>
      <w:r>
        <w:rPr>
          <w:rFonts w:hint="eastAsia" w:ascii="宋体" w:hAnsi="宋体" w:eastAsia="宋体" w:cs="宋体"/>
          <w:b/>
          <w:bCs/>
          <w:sz w:val="24"/>
          <w:szCs w:val="24"/>
          <w:highlight w:val="none"/>
          <w:lang w:val="en-US" w:eastAsia="zh-CN"/>
        </w:rPr>
        <w:t>管护</w:t>
      </w:r>
      <w:r>
        <w:rPr>
          <w:rFonts w:hint="eastAsia" w:ascii="宋体" w:hAnsi="宋体" w:eastAsia="宋体" w:cs="宋体"/>
          <w:b/>
          <w:bCs/>
          <w:sz w:val="24"/>
          <w:szCs w:val="24"/>
          <w:highlight w:val="none"/>
          <w:lang w:eastAsia="zh-CN"/>
        </w:rPr>
        <w:t>标准</w:t>
      </w:r>
    </w:p>
    <w:p>
      <w:pPr>
        <w:numPr>
          <w:ilvl w:val="3"/>
          <w:numId w:val="7"/>
        </w:numPr>
        <w:tabs>
          <w:tab w:val="left" w:pos="0"/>
        </w:tabs>
        <w:ind w:left="13" w:leftChars="0" w:hanging="13" w:firstLineChars="0"/>
        <w:rPr>
          <w:rFonts w:hint="eastAsia" w:ascii="宋体" w:hAnsi="宋体" w:eastAsia="宋体" w:cs="宋体"/>
          <w:sz w:val="24"/>
          <w:szCs w:val="24"/>
          <w:highlight w:val="none"/>
          <w:lang w:eastAsia="zh-CN"/>
        </w:rPr>
      </w:pPr>
      <w:r>
        <w:rPr>
          <w:rFonts w:hint="eastAsia" w:ascii="宋体" w:hAnsi="宋体" w:eastAsia="宋体" w:cs="宋体"/>
          <w:b w:val="0"/>
          <w:bCs w:val="0"/>
          <w:sz w:val="24"/>
          <w:szCs w:val="24"/>
          <w:highlight w:val="none"/>
          <w:lang w:val="en-US" w:eastAsia="zh-CN"/>
        </w:rPr>
        <w:t>公厕内地面应保持整洁，粪槽</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便槽（斗）和管道应无破损，内外墙应无剥落。</w:t>
      </w:r>
    </w:p>
    <w:p>
      <w:pPr>
        <w:numPr>
          <w:ilvl w:val="3"/>
          <w:numId w:val="7"/>
        </w:numPr>
        <w:tabs>
          <w:tab w:val="left" w:pos="0"/>
        </w:tabs>
        <w:ind w:left="13" w:leftChars="0" w:hanging="13" w:firstLineChars="0"/>
        <w:rPr>
          <w:rFonts w:hint="eastAsia" w:ascii="宋体" w:hAnsi="宋体" w:eastAsia="宋体" w:cs="宋体"/>
          <w:b w:val="0"/>
          <w:bCs w:val="0"/>
          <w:sz w:val="24"/>
          <w:szCs w:val="24"/>
          <w:highlight w:val="none"/>
          <w:lang w:val="en-US" w:eastAsia="zh-CN"/>
        </w:rPr>
      </w:pPr>
      <w:r>
        <w:rPr>
          <w:rFonts w:hint="eastAsia" w:ascii="宋体" w:hAnsi="宋体" w:eastAsia="宋体" w:cs="宋体"/>
          <w:sz w:val="24"/>
          <w:szCs w:val="24"/>
          <w:highlight w:val="none"/>
          <w:lang w:val="en-US" w:eastAsia="zh-CN"/>
        </w:rPr>
        <w:t>公厕应有防臭</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防蛆</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防蝇</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防鼠措施。</w:t>
      </w:r>
    </w:p>
    <w:p>
      <w:pPr>
        <w:numPr>
          <w:ilvl w:val="3"/>
          <w:numId w:val="7"/>
        </w:numPr>
        <w:tabs>
          <w:tab w:val="left" w:pos="0"/>
        </w:tabs>
        <w:ind w:left="13" w:leftChars="0" w:hanging="13" w:firstLineChars="0"/>
        <w:rPr>
          <w:rFonts w:hint="eastAsia" w:ascii="宋体" w:hAnsi="宋体" w:eastAsia="宋体" w:cs="宋体"/>
          <w:b w:val="0"/>
          <w:bCs w:val="0"/>
          <w:sz w:val="24"/>
          <w:szCs w:val="24"/>
          <w:highlight w:val="none"/>
          <w:lang w:val="en-US" w:eastAsia="zh-CN"/>
        </w:rPr>
      </w:pPr>
      <w:r>
        <w:rPr>
          <w:rFonts w:hint="eastAsia" w:ascii="宋体" w:hAnsi="宋体" w:eastAsia="宋体" w:cs="宋体"/>
          <w:sz w:val="24"/>
          <w:szCs w:val="24"/>
          <w:highlight w:val="none"/>
          <w:lang w:eastAsia="zh-CN"/>
        </w:rPr>
        <w:t>公厕内采光</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照明和通风应良好，无明显臭味。</w:t>
      </w:r>
    </w:p>
    <w:p>
      <w:pPr>
        <w:numPr>
          <w:ilvl w:val="3"/>
          <w:numId w:val="7"/>
        </w:numPr>
        <w:tabs>
          <w:tab w:val="left" w:pos="0"/>
        </w:tabs>
        <w:ind w:left="13" w:leftChars="0" w:hanging="13" w:firstLineChars="0"/>
        <w:rPr>
          <w:rFonts w:hint="eastAsia" w:ascii="宋体" w:hAnsi="宋体" w:eastAsia="宋体" w:cs="宋体"/>
          <w:b w:val="0"/>
          <w:bCs w:val="0"/>
          <w:sz w:val="24"/>
          <w:szCs w:val="24"/>
          <w:highlight w:val="none"/>
          <w:lang w:val="en-US" w:eastAsia="zh-CN"/>
        </w:rPr>
      </w:pPr>
      <w:r>
        <w:rPr>
          <w:rFonts w:hint="eastAsia" w:ascii="宋体" w:hAnsi="宋体" w:eastAsia="宋体" w:cs="宋体"/>
          <w:sz w:val="24"/>
          <w:szCs w:val="24"/>
          <w:highlight w:val="none"/>
          <w:lang w:eastAsia="zh-CN"/>
        </w:rPr>
        <w:t>公厕内墙面</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天花板</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门窗和隔离板应无积灰</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污迹</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蛛网，无乱涂乱画，墙面应光洁，公厕外墙面应整洁。</w:t>
      </w:r>
    </w:p>
    <w:p>
      <w:pPr>
        <w:numPr>
          <w:ilvl w:val="3"/>
          <w:numId w:val="7"/>
        </w:numPr>
        <w:tabs>
          <w:tab w:val="left" w:pos="0"/>
        </w:tabs>
        <w:ind w:left="13" w:leftChars="0" w:hanging="13" w:firstLineChars="0"/>
        <w:rPr>
          <w:rFonts w:hint="eastAsia" w:ascii="宋体" w:hAnsi="宋体" w:eastAsia="宋体" w:cs="宋体"/>
          <w:b w:val="0"/>
          <w:bCs w:val="0"/>
          <w:sz w:val="24"/>
          <w:szCs w:val="24"/>
          <w:highlight w:val="none"/>
          <w:lang w:val="en-US" w:eastAsia="zh-CN"/>
        </w:rPr>
      </w:pPr>
      <w:r>
        <w:rPr>
          <w:rFonts w:hint="eastAsia" w:ascii="宋体" w:hAnsi="宋体" w:eastAsia="宋体" w:cs="宋体"/>
          <w:sz w:val="24"/>
          <w:szCs w:val="24"/>
          <w:highlight w:val="none"/>
          <w:lang w:eastAsia="zh-CN"/>
        </w:rPr>
        <w:t>公厕内地面应光洁，无积</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烟头</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痰迹。</w:t>
      </w:r>
    </w:p>
    <w:p>
      <w:pPr>
        <w:numPr>
          <w:ilvl w:val="3"/>
          <w:numId w:val="7"/>
        </w:numPr>
        <w:tabs>
          <w:tab w:val="left" w:pos="0"/>
        </w:tabs>
        <w:ind w:left="13" w:leftChars="0" w:hanging="13" w:firstLineChars="0"/>
        <w:rPr>
          <w:rFonts w:hint="eastAsia" w:ascii="宋体" w:hAnsi="宋体" w:eastAsia="宋体" w:cs="宋体"/>
          <w:b w:val="0"/>
          <w:bCs w:val="0"/>
          <w:sz w:val="24"/>
          <w:szCs w:val="24"/>
          <w:highlight w:val="none"/>
          <w:lang w:val="en-US" w:eastAsia="zh-CN"/>
        </w:rPr>
      </w:pPr>
      <w:r>
        <w:rPr>
          <w:rFonts w:hint="eastAsia" w:ascii="宋体" w:hAnsi="宋体" w:eastAsia="宋体" w:cs="宋体"/>
          <w:sz w:val="24"/>
          <w:szCs w:val="24"/>
          <w:highlight w:val="none"/>
          <w:lang w:eastAsia="zh-CN"/>
        </w:rPr>
        <w:t>蹲位应清洁，大便槽两侧应无粪便污物，槽内无积粪，洁净见底。</w:t>
      </w:r>
    </w:p>
    <w:p>
      <w:pPr>
        <w:numPr>
          <w:ilvl w:val="3"/>
          <w:numId w:val="7"/>
        </w:numPr>
        <w:tabs>
          <w:tab w:val="left" w:pos="0"/>
        </w:tabs>
        <w:ind w:left="13" w:leftChars="0" w:hanging="13" w:firstLineChars="0"/>
        <w:rPr>
          <w:rFonts w:hint="eastAsia" w:ascii="宋体" w:hAnsi="宋体" w:eastAsia="宋体" w:cs="宋体"/>
          <w:b w:val="0"/>
          <w:bCs w:val="0"/>
          <w:sz w:val="24"/>
          <w:szCs w:val="24"/>
          <w:highlight w:val="none"/>
          <w:lang w:val="en-US" w:eastAsia="zh-CN"/>
        </w:rPr>
      </w:pPr>
      <w:r>
        <w:rPr>
          <w:rFonts w:hint="eastAsia" w:ascii="宋体" w:hAnsi="宋体" w:eastAsia="宋体" w:cs="宋体"/>
          <w:sz w:val="24"/>
          <w:szCs w:val="24"/>
          <w:highlight w:val="none"/>
          <w:lang w:eastAsia="zh-CN"/>
        </w:rPr>
        <w:t>小便槽（斗）应无水锈</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尿垢</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垃圾，基本无臭，管道保持畅通。</w:t>
      </w:r>
    </w:p>
    <w:p>
      <w:pPr>
        <w:numPr>
          <w:ilvl w:val="3"/>
          <w:numId w:val="7"/>
        </w:numPr>
        <w:tabs>
          <w:tab w:val="left" w:pos="0"/>
        </w:tabs>
        <w:ind w:left="13" w:leftChars="0" w:hanging="13" w:firstLineChars="0"/>
        <w:rPr>
          <w:rFonts w:hint="eastAsia" w:ascii="宋体" w:hAnsi="宋体" w:eastAsia="宋体" w:cs="宋体"/>
          <w:b w:val="0"/>
          <w:bCs w:val="0"/>
          <w:sz w:val="24"/>
          <w:szCs w:val="24"/>
          <w:highlight w:val="none"/>
          <w:lang w:val="en-US" w:eastAsia="zh-CN"/>
        </w:rPr>
      </w:pPr>
      <w:r>
        <w:rPr>
          <w:rFonts w:hint="eastAsia" w:ascii="宋体" w:hAnsi="宋体" w:eastAsia="宋体" w:cs="宋体"/>
          <w:sz w:val="24"/>
          <w:szCs w:val="24"/>
          <w:highlight w:val="none"/>
          <w:lang w:eastAsia="zh-CN"/>
        </w:rPr>
        <w:t>公厕内照明灯具</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洗手器具</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镜子</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挂衣钩</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烘手器</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冲水设备等应完好，无积灰</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污物。</w:t>
      </w:r>
    </w:p>
    <w:p>
      <w:pPr>
        <w:numPr>
          <w:ilvl w:val="3"/>
          <w:numId w:val="7"/>
        </w:numPr>
        <w:tabs>
          <w:tab w:val="left" w:pos="0"/>
        </w:tabs>
        <w:ind w:left="13" w:leftChars="0" w:hanging="13" w:firstLineChars="0"/>
        <w:rPr>
          <w:rFonts w:hint="eastAsia" w:ascii="宋体" w:hAnsi="宋体" w:eastAsia="宋体" w:cs="宋体"/>
          <w:b w:val="0"/>
          <w:bCs w:val="0"/>
          <w:sz w:val="24"/>
          <w:szCs w:val="24"/>
          <w:highlight w:val="none"/>
          <w:lang w:val="en-US" w:eastAsia="zh-CN"/>
        </w:rPr>
      </w:pPr>
      <w:r>
        <w:rPr>
          <w:rFonts w:hint="eastAsia" w:ascii="宋体" w:hAnsi="宋体" w:eastAsia="宋体" w:cs="宋体"/>
          <w:sz w:val="24"/>
          <w:szCs w:val="24"/>
          <w:highlight w:val="none"/>
          <w:lang w:eastAsia="zh-CN"/>
        </w:rPr>
        <w:t>公厕外环境应整洁，无乱丢杂物，保洁工具应放置整齐。公厕四周</w:t>
      </w:r>
      <w:r>
        <w:rPr>
          <w:rFonts w:hint="eastAsia" w:ascii="宋体" w:hAnsi="宋体" w:eastAsia="宋体" w:cs="宋体"/>
          <w:sz w:val="24"/>
          <w:szCs w:val="24"/>
          <w:highlight w:val="none"/>
          <w:lang w:val="en-US" w:eastAsia="zh-CN"/>
        </w:rPr>
        <w:t>3m~5m范围内，应无垃圾</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粪便</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污水等污物。</w:t>
      </w:r>
    </w:p>
    <w:p>
      <w:pPr>
        <w:numPr>
          <w:ilvl w:val="3"/>
          <w:numId w:val="7"/>
        </w:numPr>
        <w:tabs>
          <w:tab w:val="left" w:pos="0"/>
        </w:tabs>
        <w:ind w:left="13" w:leftChars="0" w:hanging="13" w:firstLineChars="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蚊蝇孳生季节，应及时喷洒灭蚊蝇药物，有效控制蝇蛆孳生。</w:t>
      </w:r>
    </w:p>
    <w:p>
      <w:pPr>
        <w:numPr>
          <w:ilvl w:val="3"/>
          <w:numId w:val="7"/>
        </w:numPr>
        <w:tabs>
          <w:tab w:val="left" w:pos="0"/>
        </w:tabs>
        <w:ind w:left="13" w:leftChars="0" w:hanging="13" w:firstLineChars="0"/>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人员及相关物资配备均由供应商提供。</w:t>
      </w:r>
    </w:p>
    <w:p>
      <w:pPr>
        <w:numPr>
          <w:ilvl w:val="0"/>
          <w:numId w:val="2"/>
        </w:numPr>
        <w:ind w:left="425" w:leftChars="0" w:hanging="425" w:firstLineChars="0"/>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垃圾清运</w:t>
      </w:r>
    </w:p>
    <w:p>
      <w:pPr>
        <w:numPr>
          <w:ilvl w:val="1"/>
          <w:numId w:val="8"/>
        </w:numPr>
        <w:ind w:left="850" w:leftChars="0" w:hanging="850" w:firstLineChars="0"/>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管理要求</w:t>
      </w:r>
    </w:p>
    <w:p>
      <w:pPr>
        <w:numPr>
          <w:ilvl w:val="2"/>
          <w:numId w:val="9"/>
        </w:numPr>
        <w:ind w:left="0" w:leftChars="0" w:firstLine="0" w:firstLineChars="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按照太湖港街道辖区地理位置划分，按时清运辖区内8个社区33个小队的居民生活垃圾收集并转运至垃圾中转站。</w:t>
      </w:r>
    </w:p>
    <w:p>
      <w:pPr>
        <w:numPr>
          <w:ilvl w:val="2"/>
          <w:numId w:val="9"/>
        </w:numPr>
        <w:ind w:left="0" w:leftChars="0" w:firstLine="0" w:firstLineChars="0"/>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lang w:val="en-US" w:eastAsia="zh-CN"/>
        </w:rPr>
        <w:t>垃圾清运点位统计表</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3081"/>
        <w:gridCol w:w="3120"/>
        <w:gridCol w:w="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序号</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路段名称</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垃圾桶数量（个）</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罗滩队</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65</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八岭</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19</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3</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车沟队</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14</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4</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太湖队</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38</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5</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关桥队</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34</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6</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双桥队</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31</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7</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西湖队</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31</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8</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王巷队</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36</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9</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孙桥队</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24</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10</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拱桥队</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49</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11</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梅槐分场</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17</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12</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双岭队</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21</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13</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联宜队</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27</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15</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一砖</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50</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16</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严湾队</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40</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17</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红街队</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25</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18</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井泉队</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22</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19</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渔业</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9</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20</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学校前</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12</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21</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肉摊</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14</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22</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彭家场社区</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100</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23</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西门社区</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22</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24</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太东社区</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100</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25</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清港小区</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44</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26</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刘桥队</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27</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27</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桃花村</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22</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28</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养殖场</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20</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29</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洪坡队</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27</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30</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岳台队</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20</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31</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陈台队</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26</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32</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罗台队</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20</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33</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新风小学</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13</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34</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新风分场</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13</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35</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农科所</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12</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36</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禹台</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22</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37</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莲子湖</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8</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38</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318路段</w:t>
            </w: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96</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pPr>
              <w:widowControl w:val="0"/>
              <w:numPr>
                <w:ilvl w:val="0"/>
                <w:numId w:val="0"/>
              </w:numPr>
              <w:ind w:firstLine="510" w:firstLineChars="0"/>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合计</w:t>
            </w:r>
          </w:p>
        </w:tc>
        <w:tc>
          <w:tcPr>
            <w:tcW w:w="3081"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c>
          <w:tcPr>
            <w:tcW w:w="312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r>
              <w:rPr>
                <w:rFonts w:hint="eastAsia" w:ascii="宋体" w:hAnsi="宋体" w:eastAsia="宋体" w:cs="宋体"/>
                <w:sz w:val="24"/>
                <w:szCs w:val="24"/>
                <w:highlight w:val="none"/>
                <w:vertAlign w:val="baseline"/>
                <w:lang w:val="en-US" w:eastAsia="zh-CN"/>
              </w:rPr>
              <w:t>1170</w:t>
            </w:r>
          </w:p>
        </w:tc>
        <w:tc>
          <w:tcPr>
            <w:tcW w:w="930" w:type="dxa"/>
            <w:vAlign w:val="center"/>
          </w:tcPr>
          <w:p>
            <w:pPr>
              <w:widowControl w:val="0"/>
              <w:numPr>
                <w:ilvl w:val="0"/>
                <w:numId w:val="0"/>
              </w:numPr>
              <w:jc w:val="center"/>
              <w:rPr>
                <w:rFonts w:hint="eastAsia" w:ascii="宋体" w:hAnsi="宋体" w:eastAsia="宋体" w:cs="宋体"/>
                <w:sz w:val="24"/>
                <w:szCs w:val="24"/>
                <w:highlight w:val="none"/>
                <w:vertAlign w:val="baseline"/>
                <w:lang w:val="en-US" w:eastAsia="zh-CN"/>
              </w:rPr>
            </w:pPr>
          </w:p>
        </w:tc>
      </w:tr>
    </w:tbl>
    <w:p>
      <w:pPr>
        <w:numPr>
          <w:ilvl w:val="1"/>
          <w:numId w:val="8"/>
        </w:numPr>
        <w:ind w:left="850" w:leftChars="0" w:hanging="850" w:firstLineChars="0"/>
        <w:rPr>
          <w:rFonts w:hint="eastAsia" w:ascii="宋体" w:hAnsi="宋体" w:eastAsia="宋体" w:cs="宋体"/>
          <w:b/>
          <w:bCs/>
          <w:sz w:val="24"/>
          <w:szCs w:val="24"/>
          <w:highlight w:val="none"/>
          <w:lang w:val="en-US" w:eastAsia="zh-CN"/>
        </w:rPr>
      </w:pPr>
      <w:r>
        <w:rPr>
          <w:rFonts w:hint="eastAsia" w:ascii="宋体" w:hAnsi="宋体" w:eastAsia="宋体" w:cs="宋体"/>
          <w:b/>
          <w:bCs/>
          <w:sz w:val="24"/>
          <w:szCs w:val="24"/>
          <w:highlight w:val="none"/>
          <w:lang w:val="en-US" w:eastAsia="zh-CN"/>
        </w:rPr>
        <w:t>工作内容</w:t>
      </w:r>
    </w:p>
    <w:p>
      <w:pPr>
        <w:numPr>
          <w:ilvl w:val="2"/>
          <w:numId w:val="10"/>
        </w:numPr>
        <w:ind w:left="8" w:leftChars="0" w:hanging="8" w:firstLineChars="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太湖港街道辖区范围内需清运的垃圾桶共有1170个，经现场调查有不少点位摆放的垃圾桶数量不够，需增加175个垃圾桶。现有的垃圾桶也有不同程度破损，需更换。（每年损坏及丢失近400个）</w:t>
      </w:r>
    </w:p>
    <w:p>
      <w:pPr>
        <w:numPr>
          <w:ilvl w:val="2"/>
          <w:numId w:val="10"/>
        </w:numPr>
        <w:ind w:left="8" w:leftChars="0" w:hanging="8" w:firstLineChars="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每天安排5辆清运车对各点位垃圾进行转运，车辆按要求做到密闭化，运输过程中不扬撒、泄露，保持外观干净整洁，垃圾做到日产日清，无堆积、无漏收。</w:t>
      </w:r>
    </w:p>
    <w:p>
      <w:pPr>
        <w:numPr>
          <w:ilvl w:val="2"/>
          <w:numId w:val="10"/>
        </w:numPr>
        <w:ind w:left="8" w:leftChars="0" w:hanging="8" w:firstLineChars="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安排人员对垃圾桶周围做好保洁工作，做到干净、无杂物、无异味、无污水。定期对垃圾清运车辆、垃圾桶进行消毒杀菌等工作。</w:t>
      </w:r>
    </w:p>
    <w:p>
      <w:pPr>
        <w:numPr>
          <w:ilvl w:val="2"/>
          <w:numId w:val="10"/>
        </w:numPr>
        <w:ind w:left="8" w:leftChars="0" w:hanging="8" w:firstLineChars="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夏季是蚊虫滋生季节，安排人员对所有垃圾设施周围进行消毒及管护。</w:t>
      </w:r>
    </w:p>
    <w:p>
      <w:pPr>
        <w:numPr>
          <w:ilvl w:val="3"/>
          <w:numId w:val="7"/>
        </w:numPr>
        <w:tabs>
          <w:tab w:val="left" w:pos="0"/>
        </w:tabs>
        <w:ind w:left="13" w:leftChars="0" w:hanging="13" w:firstLineChars="0"/>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eastAsia="zh-CN"/>
        </w:rPr>
        <w:t>人员及相关物资配备均由供应商提供。</w:t>
      </w:r>
    </w:p>
    <w:p>
      <w:pPr>
        <w:pStyle w:val="8"/>
        <w:rPr>
          <w:rFonts w:hint="eastAsia" w:ascii="黑体" w:eastAsia="黑体"/>
          <w:sz w:val="28"/>
          <w:szCs w:val="28"/>
          <w:highlight w:val="none"/>
        </w:rPr>
      </w:pPr>
    </w:p>
    <w:p>
      <w:pPr>
        <w:pStyle w:val="8"/>
        <w:rPr>
          <w:rFonts w:hint="eastAsia" w:ascii="黑体" w:eastAsia="黑体"/>
          <w:sz w:val="28"/>
          <w:szCs w:val="28"/>
          <w:highlight w:val="none"/>
        </w:rPr>
      </w:pPr>
    </w:p>
    <w:p>
      <w:pPr>
        <w:pStyle w:val="8"/>
        <w:rPr>
          <w:rFonts w:hint="eastAsia" w:ascii="黑体" w:eastAsia="黑体"/>
          <w:sz w:val="28"/>
          <w:szCs w:val="28"/>
          <w:highlight w:val="none"/>
        </w:rPr>
      </w:pPr>
    </w:p>
    <w:p>
      <w:pPr>
        <w:pStyle w:val="8"/>
        <w:rPr>
          <w:rFonts w:hint="eastAsia" w:ascii="黑体" w:eastAsia="黑体"/>
          <w:sz w:val="28"/>
          <w:szCs w:val="28"/>
          <w:highlight w:val="none"/>
        </w:rPr>
        <w:sectPr>
          <w:footerReference r:id="rId6" w:type="first"/>
          <w:footerReference r:id="rId5" w:type="default"/>
          <w:pgSz w:w="11906" w:h="16838"/>
          <w:pgMar w:top="1440" w:right="1466" w:bottom="1440" w:left="1800" w:header="851" w:footer="992" w:gutter="0"/>
          <w:pgNumType w:fmt="decimal"/>
          <w:cols w:space="720" w:num="1"/>
          <w:titlePg/>
          <w:docGrid w:type="lines" w:linePitch="312" w:charSpace="0"/>
        </w:sectPr>
      </w:pP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left="0" w:leftChars="0" w:firstLine="420" w:firstLineChars="0"/>
        <w:textAlignment w:val="baseline"/>
        <w:rPr>
          <w:rFonts w:hint="eastAsia" w:eastAsia="宋体"/>
          <w:b/>
          <w:bCs/>
          <w:sz w:val="28"/>
          <w:szCs w:val="28"/>
          <w:highlight w:val="none"/>
          <w:lang w:val="en-US" w:eastAsia="zh-CN"/>
        </w:rPr>
      </w:pPr>
      <w:r>
        <w:rPr>
          <w:rFonts w:hint="eastAsia" w:eastAsia="宋体"/>
          <w:b/>
          <w:bCs/>
          <w:sz w:val="28"/>
          <w:szCs w:val="28"/>
          <w:highlight w:val="none"/>
          <w:lang w:val="en-US" w:eastAsia="zh-CN"/>
        </w:rPr>
        <w:t>商务要求</w:t>
      </w:r>
    </w:p>
    <w:p>
      <w:pPr>
        <w:numPr>
          <w:ilvl w:val="0"/>
          <w:numId w:val="11"/>
        </w:numPr>
        <w:tabs>
          <w:tab w:val="left" w:pos="840"/>
        </w:tabs>
        <w:spacing w:line="360" w:lineRule="auto"/>
        <w:ind w:left="425" w:leftChars="0" w:hanging="425" w:firstLineChars="0"/>
        <w:rPr>
          <w:rFonts w:hint="eastAsia" w:ascii="Times New Roman" w:hAnsi="Times New Roman" w:eastAsia="宋体" w:cs="Times New Roman"/>
          <w:b/>
          <w:highlight w:val="none"/>
        </w:rPr>
      </w:pPr>
      <w:r>
        <w:rPr>
          <w:rFonts w:hint="eastAsia" w:ascii="Times New Roman" w:hAnsi="Times New Roman" w:eastAsia="宋体" w:cs="Times New Roman"/>
          <w:b/>
          <w:highlight w:val="none"/>
          <w:lang w:val="en-US" w:eastAsia="zh-CN"/>
        </w:rPr>
        <w:t>服务期</w:t>
      </w:r>
    </w:p>
    <w:p>
      <w:pPr>
        <w:numPr>
          <w:ilvl w:val="1"/>
          <w:numId w:val="12"/>
        </w:numPr>
        <w:tabs>
          <w:tab w:val="left" w:pos="840"/>
        </w:tabs>
        <w:spacing w:line="360" w:lineRule="auto"/>
        <w:ind w:left="826" w:leftChars="0" w:hanging="826" w:firstLineChars="0"/>
        <w:rPr>
          <w:rFonts w:hint="eastAsia" w:eastAsia="宋体"/>
          <w:highlight w:val="none"/>
          <w:lang w:val="en-US" w:eastAsia="zh-CN"/>
        </w:rPr>
      </w:pPr>
      <w:r>
        <w:rPr>
          <w:rFonts w:hint="eastAsia" w:eastAsia="宋体"/>
          <w:highlight w:val="none"/>
          <w:lang w:val="en-US" w:eastAsia="zh-CN"/>
        </w:rPr>
        <w:t>签定合同后按合同和磋商、磋商响应文件约定的要求和标准提供服务。</w:t>
      </w:r>
    </w:p>
    <w:p>
      <w:pPr>
        <w:numPr>
          <w:ilvl w:val="1"/>
          <w:numId w:val="12"/>
        </w:numPr>
        <w:tabs>
          <w:tab w:val="left" w:pos="840"/>
        </w:tabs>
        <w:spacing w:line="360" w:lineRule="auto"/>
        <w:ind w:left="826" w:leftChars="0" w:hanging="826" w:firstLineChars="0"/>
        <w:rPr>
          <w:highlight w:val="none"/>
        </w:rPr>
      </w:pPr>
      <w:r>
        <w:rPr>
          <w:rFonts w:hint="eastAsia" w:eastAsia="宋体"/>
          <w:highlight w:val="none"/>
          <w:lang w:val="en-US" w:eastAsia="zh-CN"/>
        </w:rPr>
        <w:t>服务期：</w:t>
      </w:r>
      <w:r>
        <w:rPr>
          <w:rFonts w:hint="eastAsia"/>
          <w:highlight w:val="none"/>
          <w:lang w:val="en-US" w:eastAsia="zh-CN"/>
        </w:rPr>
        <w:t>合同签订之日起</w:t>
      </w:r>
      <w:r>
        <w:rPr>
          <w:rFonts w:hint="eastAsia" w:eastAsia="宋体"/>
          <w:highlight w:val="none"/>
          <w:lang w:val="en-US" w:eastAsia="zh-CN"/>
        </w:rPr>
        <w:t>1年</w:t>
      </w:r>
      <w:r>
        <w:rPr>
          <w:rFonts w:hint="eastAsia"/>
          <w:highlight w:val="none"/>
          <w:lang w:val="en-US" w:eastAsia="zh-CN"/>
        </w:rPr>
        <w:t>，考核通过可根据采购人需求决定是否续签，续签最多不超过2年</w:t>
      </w:r>
      <w:r>
        <w:rPr>
          <w:rFonts w:hint="eastAsia" w:eastAsia="宋体"/>
          <w:highlight w:val="none"/>
          <w:lang w:val="en-US" w:eastAsia="zh-CN"/>
        </w:rPr>
        <w:t>。</w:t>
      </w:r>
    </w:p>
    <w:p>
      <w:pPr>
        <w:pStyle w:val="9"/>
        <w:rPr>
          <w:rFonts w:hint="eastAsia"/>
          <w:highlight w:val="none"/>
          <w:lang w:val="en-US" w:eastAsia="zh-CN"/>
        </w:rPr>
      </w:pPr>
    </w:p>
    <w:p>
      <w:pPr>
        <w:numPr>
          <w:ilvl w:val="0"/>
          <w:numId w:val="12"/>
        </w:numPr>
        <w:tabs>
          <w:tab w:val="left" w:pos="840"/>
        </w:tabs>
        <w:spacing w:line="360" w:lineRule="auto"/>
        <w:ind w:left="825" w:leftChars="0" w:hanging="825" w:firstLineChars="0"/>
        <w:rPr>
          <w:rFonts w:hint="eastAsia"/>
          <w:b/>
          <w:highlight w:val="none"/>
        </w:rPr>
      </w:pPr>
      <w:r>
        <w:rPr>
          <w:rFonts w:hint="eastAsia"/>
          <w:b/>
          <w:highlight w:val="none"/>
        </w:rPr>
        <w:t>付款方式</w:t>
      </w:r>
    </w:p>
    <w:p>
      <w:pPr>
        <w:numPr>
          <w:ilvl w:val="1"/>
          <w:numId w:val="12"/>
        </w:numPr>
        <w:tabs>
          <w:tab w:val="left" w:pos="840"/>
        </w:tabs>
        <w:spacing w:line="360" w:lineRule="auto"/>
        <w:ind w:left="826" w:leftChars="0" w:hanging="826" w:firstLineChars="0"/>
        <w:rPr>
          <w:rFonts w:hint="default" w:ascii="Times New Roman" w:hAnsi="Times New Roman" w:eastAsia="宋体" w:cs="Times New Roman"/>
          <w:b/>
          <w:highlight w:val="none"/>
          <w:lang w:val="en-US" w:eastAsia="zh-CN"/>
        </w:rPr>
      </w:pPr>
      <w:r>
        <w:rPr>
          <w:rFonts w:hint="eastAsia"/>
          <w:highlight w:val="none"/>
          <w:lang w:eastAsia="zh-CN"/>
        </w:rPr>
        <w:t>合同签订进场服务后，每个季度结一次款，</w:t>
      </w:r>
      <w:r>
        <w:rPr>
          <w:rFonts w:hint="eastAsia"/>
          <w:highlight w:val="none"/>
        </w:rPr>
        <w:t>采购人将服务费以银行转帐的方式直接划转至成交</w:t>
      </w:r>
      <w:r>
        <w:rPr>
          <w:rFonts w:hint="eastAsia"/>
          <w:highlight w:val="none"/>
          <w:lang w:eastAsia="zh-CN"/>
        </w:rPr>
        <w:t>人</w:t>
      </w:r>
      <w:r>
        <w:rPr>
          <w:rFonts w:hint="eastAsia"/>
          <w:highlight w:val="none"/>
        </w:rPr>
        <w:t>的银行帐户。</w:t>
      </w:r>
      <w:r>
        <w:rPr>
          <w:rFonts w:hint="eastAsia"/>
          <w:highlight w:val="none"/>
          <w:lang w:eastAsia="zh-CN"/>
        </w:rPr>
        <w:t>结算时，</w:t>
      </w:r>
      <w:r>
        <w:rPr>
          <w:rFonts w:hint="eastAsia"/>
          <w:highlight w:val="none"/>
        </w:rPr>
        <w:t>成交</w:t>
      </w:r>
      <w:r>
        <w:rPr>
          <w:rFonts w:hint="eastAsia"/>
          <w:highlight w:val="none"/>
          <w:lang w:eastAsia="zh-CN"/>
        </w:rPr>
        <w:t>人</w:t>
      </w:r>
      <w:r>
        <w:rPr>
          <w:rFonts w:hint="eastAsia"/>
          <w:highlight w:val="none"/>
        </w:rPr>
        <w:t>须向采购人出具有效的税务部门开具的结算发票。</w:t>
      </w:r>
      <w:r>
        <w:rPr>
          <w:highlight w:val="none"/>
        </w:rPr>
        <w:br w:type="textWrapping"/>
      </w:r>
      <w:bookmarkStart w:id="7" w:name="_GoBack"/>
      <w:bookmarkEnd w:id="7"/>
    </w:p>
    <w:p>
      <w:pPr>
        <w:numPr>
          <w:ilvl w:val="0"/>
          <w:numId w:val="12"/>
        </w:numPr>
        <w:tabs>
          <w:tab w:val="left" w:pos="840"/>
        </w:tabs>
        <w:spacing w:line="360" w:lineRule="auto"/>
        <w:ind w:left="825" w:leftChars="0" w:hanging="825" w:firstLineChars="0"/>
        <w:rPr>
          <w:rFonts w:hint="eastAsia"/>
          <w:b/>
          <w:highlight w:val="none"/>
        </w:rPr>
      </w:pPr>
      <w:r>
        <w:rPr>
          <w:rFonts w:hint="eastAsia"/>
          <w:b/>
          <w:highlight w:val="none"/>
        </w:rPr>
        <w:t>其他说明</w:t>
      </w:r>
    </w:p>
    <w:p>
      <w:pPr>
        <w:numPr>
          <w:ilvl w:val="1"/>
          <w:numId w:val="12"/>
        </w:numPr>
        <w:tabs>
          <w:tab w:val="left" w:pos="840"/>
        </w:tabs>
        <w:spacing w:line="360" w:lineRule="auto"/>
        <w:ind w:left="845" w:leftChars="0" w:hanging="845" w:firstLineChars="0"/>
        <w:rPr>
          <w:rFonts w:hint="eastAsia" w:ascii="Times New Roman" w:hAnsi="Times New Roman" w:eastAsia="宋体" w:cs="Times New Roman"/>
          <w:b w:val="0"/>
          <w:bCs/>
          <w:highlight w:val="none"/>
          <w:lang w:eastAsia="zh-CN"/>
        </w:rPr>
      </w:pPr>
      <w:r>
        <w:rPr>
          <w:rFonts w:hint="eastAsia" w:ascii="Times New Roman" w:hAnsi="Times New Roman" w:eastAsia="宋体" w:cs="Times New Roman"/>
          <w:b w:val="0"/>
          <w:bCs/>
          <w:highlight w:val="none"/>
        </w:rPr>
        <w:t>本项目采购预算控制金额为</w:t>
      </w:r>
      <w:r>
        <w:rPr>
          <w:rFonts w:hint="eastAsia" w:ascii="Times New Roman" w:hAnsi="Times New Roman" w:cs="Times New Roman"/>
          <w:b w:val="0"/>
          <w:bCs/>
          <w:highlight w:val="none"/>
          <w:lang w:val="en-US" w:eastAsia="zh-CN"/>
        </w:rPr>
        <w:t>120</w:t>
      </w:r>
      <w:r>
        <w:rPr>
          <w:rFonts w:hint="eastAsia" w:ascii="Times New Roman" w:hAnsi="Times New Roman" w:eastAsia="宋体" w:cs="Times New Roman"/>
          <w:b w:val="0"/>
          <w:bCs/>
          <w:highlight w:val="none"/>
        </w:rPr>
        <w:t>万元，超出预算控制金额将导致其报价无效。</w:t>
      </w:r>
    </w:p>
    <w:p>
      <w:pPr>
        <w:numPr>
          <w:ilvl w:val="1"/>
          <w:numId w:val="12"/>
        </w:numPr>
        <w:tabs>
          <w:tab w:val="left" w:pos="840"/>
        </w:tabs>
        <w:spacing w:line="360" w:lineRule="auto"/>
        <w:ind w:left="845" w:leftChars="0" w:hanging="845" w:firstLineChars="0"/>
        <w:rPr>
          <w:rFonts w:hint="eastAsia" w:ascii="Times New Roman" w:hAnsi="Times New Roman" w:eastAsia="宋体" w:cs="Times New Roman"/>
          <w:b w:val="0"/>
          <w:bCs/>
          <w:highlight w:val="none"/>
          <w:lang w:eastAsia="zh-CN"/>
        </w:rPr>
      </w:pPr>
      <w:r>
        <w:rPr>
          <w:rFonts w:hint="eastAsia" w:ascii="Times New Roman" w:hAnsi="Times New Roman" w:eastAsia="宋体" w:cs="Times New Roman"/>
          <w:b w:val="0"/>
          <w:bCs/>
          <w:highlight w:val="none"/>
          <w:lang w:eastAsia="zh-CN"/>
        </w:rPr>
        <w:t>报价要求：本项目按总报价进行报价，包含服务内完成本项目涉及的一切费用（包括但不限于作业费用、人员基本工资、社保、福利补贴、餐费、加班费、意外伤害保险），基本工资及社保均不得低于相关部门最新规定的最低工资标准及社保缴纳标准，服务期间如遇政府最低工资标准等上调，由</w:t>
      </w:r>
      <w:r>
        <w:rPr>
          <w:rFonts w:hint="eastAsia" w:ascii="Times New Roman" w:hAnsi="Times New Roman" w:cs="Times New Roman"/>
          <w:b w:val="0"/>
          <w:bCs/>
          <w:highlight w:val="none"/>
          <w:lang w:eastAsia="zh-CN"/>
        </w:rPr>
        <w:t>供应商</w:t>
      </w:r>
      <w:r>
        <w:rPr>
          <w:rFonts w:hint="eastAsia" w:ascii="Times New Roman" w:hAnsi="Times New Roman" w:eastAsia="宋体" w:cs="Times New Roman"/>
          <w:b w:val="0"/>
          <w:bCs/>
          <w:highlight w:val="none"/>
          <w:lang w:eastAsia="zh-CN"/>
        </w:rPr>
        <w:t>自行承担。</w:t>
      </w:r>
    </w:p>
    <w:p>
      <w:pPr>
        <w:numPr>
          <w:ilvl w:val="1"/>
          <w:numId w:val="12"/>
        </w:numPr>
        <w:tabs>
          <w:tab w:val="left" w:pos="840"/>
        </w:tabs>
        <w:spacing w:line="360" w:lineRule="auto"/>
        <w:ind w:left="845" w:leftChars="0" w:hanging="845" w:firstLineChars="0"/>
        <w:rPr>
          <w:rFonts w:ascii="宋体" w:hAnsi="宋体" w:eastAsia="宋体" w:cs="宋体"/>
          <w:spacing w:val="-1"/>
          <w:sz w:val="24"/>
          <w:szCs w:val="24"/>
          <w:highlight w:val="none"/>
        </w:rPr>
      </w:pPr>
      <w:r>
        <w:rPr>
          <w:rFonts w:hint="eastAsia" w:ascii="Times New Roman" w:hAnsi="Times New Roman" w:cs="Times New Roman"/>
          <w:b w:val="0"/>
          <w:bCs/>
          <w:highlight w:val="none"/>
          <w:lang w:eastAsia="zh-CN"/>
        </w:rPr>
        <w:t>本项目交付使用单位：荆州高新技术产业开发区太湖港街道办事处。</w:t>
      </w:r>
      <w:bookmarkEnd w:id="5"/>
      <w:bookmarkEnd w:id="6"/>
    </w:p>
    <w:p>
      <w:pPr>
        <w:pStyle w:val="28"/>
        <w:rPr>
          <w:rFonts w:ascii="宋体" w:hAnsi="宋体" w:eastAsia="宋体" w:cs="宋体"/>
          <w:spacing w:val="-1"/>
          <w:sz w:val="24"/>
          <w:szCs w:val="24"/>
          <w:highlight w:val="none"/>
        </w:rPr>
      </w:pPr>
    </w:p>
    <w:p>
      <w:pPr>
        <w:pStyle w:val="28"/>
        <w:rPr>
          <w:rFonts w:ascii="宋体" w:hAnsi="宋体" w:eastAsia="宋体" w:cs="宋体"/>
          <w:spacing w:val="-1"/>
          <w:sz w:val="24"/>
          <w:szCs w:val="24"/>
          <w:highlight w:val="none"/>
        </w:rPr>
      </w:pPr>
    </w:p>
    <w:p>
      <w:pPr>
        <w:pStyle w:val="28"/>
        <w:rPr>
          <w:rFonts w:ascii="宋体" w:hAnsi="宋体" w:eastAsia="宋体" w:cs="宋体"/>
          <w:spacing w:val="-1"/>
          <w:sz w:val="24"/>
          <w:szCs w:val="24"/>
          <w:highlight w:val="none"/>
        </w:rPr>
      </w:pPr>
    </w:p>
    <w:p>
      <w:pPr>
        <w:pStyle w:val="28"/>
        <w:rPr>
          <w:rFonts w:ascii="宋体" w:hAnsi="宋体" w:eastAsia="宋体" w:cs="宋体"/>
          <w:spacing w:val="-1"/>
          <w:sz w:val="24"/>
          <w:szCs w:val="24"/>
          <w:highlight w:val="none"/>
        </w:rPr>
      </w:pPr>
    </w:p>
    <w:p>
      <w:pPr>
        <w:rPr>
          <w:highlight w:val="none"/>
        </w:rPr>
      </w:pPr>
    </w:p>
    <w:sectPr>
      <w:footerReference r:id="rId7" w:type="default"/>
      <w:pgSz w:w="11906" w:h="16839"/>
      <w:pgMar w:top="1440" w:right="1800" w:bottom="1440" w:left="1800" w:header="0" w:footer="1237"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Consolas">
    <w:panose1 w:val="020B0609020204030204"/>
    <w:charset w:val="00"/>
    <w:family w:val="auto"/>
    <w:pitch w:val="default"/>
    <w:sig w:usb0="E10002FF" w:usb1="4000FCFF" w:usb2="00000009" w:usb3="00000000" w:csb0="6000019F" w:csb1="DFD70000"/>
  </w:font>
  <w:font w:name="仿宋">
    <w:panose1 w:val="02010609060101010101"/>
    <w:charset w:val="86"/>
    <w:family w:val="auto"/>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left" w:pos="3001"/>
        <w:tab w:val="center" w:pos="4252"/>
        <w:tab w:val="clear" w:pos="4153"/>
        <w:tab w:val="clear" w:pos="8306"/>
      </w:tabs>
    </w:pPr>
    <w:r>
      <w:rPr>
        <w:rFonts w:hint="eastAsia"/>
        <w:lang w:eastAsia="zh-CN"/>
      </w:rPr>
      <w:tab/>
    </w:r>
    <w:r>
      <w:rPr>
        <w:rFonts w:hint="eastAsia"/>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5" w:lineRule="exact"/>
      <w:ind w:firstLine="4080"/>
      <w:rPr>
        <w:rFonts w:ascii="Times New Roman" w:hAnsi="Times New Roman" w:eastAsia="Times New Roman" w:cs="Times New Roman"/>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B6276A"/>
    <w:multiLevelType w:val="multilevel"/>
    <w:tmpl w:val="85B6276A"/>
    <w:lvl w:ilvl="0" w:tentative="0">
      <w:start w:val="1"/>
      <w:numFmt w:val="decimal"/>
      <w:lvlText w:val="%1."/>
      <w:lvlJc w:val="left"/>
      <w:pPr>
        <w:ind w:left="425" w:hanging="425"/>
      </w:pPr>
      <w:rPr>
        <w:rFonts w:hint="default"/>
      </w:rPr>
    </w:lvl>
    <w:lvl w:ilvl="1" w:tentative="0">
      <w:start w:val="2"/>
      <w:numFmt w:val="decimal"/>
      <w:lvlText w:val="%1.%2."/>
      <w:lvlJc w:val="left"/>
      <w:pPr>
        <w:ind w:left="850" w:hanging="453"/>
      </w:pPr>
      <w:rPr>
        <w:rFonts w:hint="default"/>
      </w:rPr>
    </w:lvl>
    <w:lvl w:ilvl="2" w:tentative="0">
      <w:start w:val="3"/>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1">
    <w:nsid w:val="A0105924"/>
    <w:multiLevelType w:val="singleLevel"/>
    <w:tmpl w:val="A0105924"/>
    <w:lvl w:ilvl="0" w:tentative="0">
      <w:start w:val="1"/>
      <w:numFmt w:val="chineseCounting"/>
      <w:suff w:val="nothing"/>
      <w:lvlText w:val="（%1）"/>
      <w:lvlJc w:val="left"/>
      <w:pPr>
        <w:ind w:left="0" w:firstLine="420"/>
      </w:pPr>
      <w:rPr>
        <w:rFonts w:hint="eastAsia"/>
      </w:rPr>
    </w:lvl>
  </w:abstractNum>
  <w:abstractNum w:abstractNumId="2">
    <w:nsid w:val="A742C36C"/>
    <w:multiLevelType w:val="multilevel"/>
    <w:tmpl w:val="A742C36C"/>
    <w:lvl w:ilvl="0" w:tentative="0">
      <w:start w:val="1"/>
      <w:numFmt w:val="decimal"/>
      <w:lvlText w:val="%1."/>
      <w:lvlJc w:val="left"/>
      <w:pPr>
        <w:ind w:left="425" w:hanging="425"/>
      </w:pPr>
      <w:rPr>
        <w:rFonts w:hint="default"/>
      </w:rPr>
    </w:lvl>
    <w:lvl w:ilvl="1" w:tentative="0">
      <w:start w:val="1"/>
      <w:numFmt w:val="decimal"/>
      <w:lvlText w:val="%1.%2."/>
      <w:lvlJc w:val="left"/>
      <w:pPr>
        <w:ind w:left="850" w:hanging="453"/>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3">
    <w:nsid w:val="C680590D"/>
    <w:multiLevelType w:val="multilevel"/>
    <w:tmpl w:val="C680590D"/>
    <w:lvl w:ilvl="0" w:tentative="0">
      <w:start w:val="1"/>
      <w:numFmt w:val="decimal"/>
      <w:lvlText w:val="%1."/>
      <w:lvlJc w:val="left"/>
      <w:pPr>
        <w:ind w:left="425" w:hanging="425"/>
      </w:pPr>
      <w:rPr>
        <w:rFonts w:hint="default" w:ascii="宋体" w:hAnsi="宋体" w:eastAsia="宋体" w:cs="宋体"/>
      </w:rPr>
    </w:lvl>
    <w:lvl w:ilvl="1" w:tentative="0">
      <w:start w:val="1"/>
      <w:numFmt w:val="decimal"/>
      <w:lvlText w:val="%1.%2."/>
      <w:lvlJc w:val="left"/>
      <w:pPr>
        <w:ind w:left="567" w:leftChars="0" w:hanging="567" w:firstLineChars="0"/>
      </w:pPr>
      <w:rPr>
        <w:rFonts w:hint="default" w:ascii="宋体" w:hAnsi="宋体" w:eastAsia="宋体" w:cs="宋体"/>
      </w:rPr>
    </w:lvl>
    <w:lvl w:ilvl="2" w:tentative="0">
      <w:start w:val="1"/>
      <w:numFmt w:val="decimal"/>
      <w:lvlText w:val="%1.%2.%3."/>
      <w:lvlJc w:val="left"/>
      <w:pPr>
        <w:ind w:left="709" w:leftChars="0" w:hanging="709" w:firstLineChars="0"/>
      </w:pPr>
      <w:rPr>
        <w:rFonts w:hint="default" w:ascii="宋体" w:hAnsi="宋体" w:eastAsia="宋体" w:cs="宋体"/>
      </w:rPr>
    </w:lvl>
    <w:lvl w:ilvl="3" w:tentative="0">
      <w:start w:val="1"/>
      <w:numFmt w:val="decimal"/>
      <w:lvlText w:val="%1.%2.%3.%4."/>
      <w:lvlJc w:val="left"/>
      <w:pPr>
        <w:ind w:left="851" w:hanging="851"/>
      </w:pPr>
      <w:rPr>
        <w:rFonts w:hint="default" w:ascii="宋体" w:hAnsi="宋体" w:eastAsia="宋体"/>
      </w:r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4">
    <w:nsid w:val="D1522666"/>
    <w:multiLevelType w:val="multilevel"/>
    <w:tmpl w:val="D1522666"/>
    <w:lvl w:ilvl="0" w:tentative="0">
      <w:start w:val="1"/>
      <w:numFmt w:val="decimal"/>
      <w:lvlText w:val="%1."/>
      <w:lvlJc w:val="left"/>
      <w:pPr>
        <w:ind w:left="425" w:hanging="425"/>
      </w:pPr>
      <w:rPr>
        <w:rFonts w:hint="default"/>
      </w:rPr>
    </w:lvl>
    <w:lvl w:ilvl="1" w:tentative="0">
      <w:start w:val="1"/>
      <w:numFmt w:val="decimal"/>
      <w:lvlText w:val="%1.%2."/>
      <w:lvlJc w:val="left"/>
      <w:pPr>
        <w:ind w:left="850" w:hanging="453"/>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5">
    <w:nsid w:val="DF88FA7B"/>
    <w:multiLevelType w:val="multilevel"/>
    <w:tmpl w:val="DF88FA7B"/>
    <w:lvl w:ilvl="0" w:tentative="0">
      <w:start w:val="1"/>
      <w:numFmt w:val="decimal"/>
      <w:lvlText w:val="%1."/>
      <w:lvlJc w:val="left"/>
      <w:pPr>
        <w:ind w:left="425" w:hanging="425"/>
      </w:pPr>
      <w:rPr>
        <w:rFonts w:hint="default"/>
      </w:rPr>
    </w:lvl>
    <w:lvl w:ilvl="1" w:tentative="0">
      <w:start w:val="2"/>
      <w:numFmt w:val="decimal"/>
      <w:lvlText w:val="%1.%2."/>
      <w:lvlJc w:val="left"/>
      <w:pPr>
        <w:ind w:left="850" w:hanging="453"/>
      </w:pPr>
      <w:rPr>
        <w:rFonts w:hint="default"/>
      </w:rPr>
    </w:lvl>
    <w:lvl w:ilvl="2" w:tentative="0">
      <w:start w:val="1"/>
      <w:numFmt w:val="decimal"/>
      <w:lvlText w:val="%1.%2.%3."/>
      <w:lvlJc w:val="left"/>
      <w:pPr>
        <w:ind w:left="1508" w:hanging="708"/>
      </w:pPr>
      <w:rPr>
        <w:rFonts w:hint="default"/>
        <w:b/>
        <w:bCs/>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6">
    <w:nsid w:val="FA102271"/>
    <w:multiLevelType w:val="multilevel"/>
    <w:tmpl w:val="FA102271"/>
    <w:lvl w:ilvl="0" w:tentative="0">
      <w:start w:val="1"/>
      <w:numFmt w:val="decimal"/>
      <w:lvlText w:val="%1."/>
      <w:lvlJc w:val="left"/>
      <w:pPr>
        <w:ind w:left="425" w:hanging="425"/>
      </w:pPr>
      <w:rPr>
        <w:rFonts w:hint="default"/>
      </w:rPr>
    </w:lvl>
    <w:lvl w:ilvl="1" w:tentative="0">
      <w:start w:val="1"/>
      <w:numFmt w:val="decimal"/>
      <w:lvlText w:val="%1.%2."/>
      <w:lvlJc w:val="left"/>
      <w:pPr>
        <w:ind w:left="850" w:hanging="453"/>
      </w:pPr>
      <w:rPr>
        <w:rFonts w:hint="default"/>
      </w:rPr>
    </w:lvl>
    <w:lvl w:ilvl="2" w:tentative="0">
      <w:start w:val="2"/>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7">
    <w:nsid w:val="FA6190A5"/>
    <w:multiLevelType w:val="multilevel"/>
    <w:tmpl w:val="FA6190A5"/>
    <w:lvl w:ilvl="0" w:tentative="0">
      <w:start w:val="2"/>
      <w:numFmt w:val="decimal"/>
      <w:lvlText w:val="%1."/>
      <w:lvlJc w:val="left"/>
      <w:pPr>
        <w:ind w:left="425" w:hanging="425"/>
      </w:pPr>
      <w:rPr>
        <w:rFonts w:hint="default"/>
      </w:rPr>
    </w:lvl>
    <w:lvl w:ilvl="1" w:tentative="0">
      <w:start w:val="1"/>
      <w:numFmt w:val="decimal"/>
      <w:lvlText w:val="%1.%2."/>
      <w:lvlJc w:val="left"/>
      <w:pPr>
        <w:ind w:left="850" w:hanging="453"/>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8">
    <w:nsid w:val="15B0D75B"/>
    <w:multiLevelType w:val="multilevel"/>
    <w:tmpl w:val="15B0D75B"/>
    <w:lvl w:ilvl="0" w:tentative="0">
      <w:start w:val="2"/>
      <w:numFmt w:val="decimal"/>
      <w:lvlText w:val="%1."/>
      <w:lvlJc w:val="left"/>
      <w:pPr>
        <w:ind w:left="425" w:hanging="425"/>
      </w:pPr>
      <w:rPr>
        <w:rFonts w:hint="default"/>
      </w:rPr>
    </w:lvl>
    <w:lvl w:ilvl="1" w:tentative="0">
      <w:start w:val="1"/>
      <w:numFmt w:val="decimal"/>
      <w:lvlText w:val="%1.%2."/>
      <w:lvlJc w:val="left"/>
      <w:pPr>
        <w:ind w:left="850" w:hanging="453"/>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9">
    <w:nsid w:val="42C70455"/>
    <w:multiLevelType w:val="multilevel"/>
    <w:tmpl w:val="42C70455"/>
    <w:lvl w:ilvl="0" w:tentative="0">
      <w:start w:val="1"/>
      <w:numFmt w:val="decimal"/>
      <w:lvlText w:val="%1."/>
      <w:lvlJc w:val="left"/>
      <w:pPr>
        <w:ind w:left="425" w:hanging="425"/>
      </w:pPr>
      <w:rPr>
        <w:rFonts w:hint="default" w:ascii="Times New Roman" w:hAnsi="Times New Roman" w:cs="Times New Roman"/>
        <w:b/>
        <w:sz w:val="21"/>
        <w:szCs w:val="21"/>
      </w:rPr>
    </w:lvl>
    <w:lvl w:ilvl="1" w:tentative="0">
      <w:start w:val="1"/>
      <w:numFmt w:val="decimal"/>
      <w:lvlText w:val="%1.%2."/>
      <w:lvlJc w:val="left"/>
      <w:pPr>
        <w:ind w:left="567" w:hanging="567"/>
      </w:pPr>
      <w:rPr>
        <w:rFonts w:hint="default" w:ascii="宋体" w:hAnsi="宋体" w:eastAsia="宋体" w:cs="宋体"/>
        <w:b w:val="0"/>
        <w:bCs w:val="0"/>
      </w:r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10">
    <w:nsid w:val="49B859A5"/>
    <w:multiLevelType w:val="multilevel"/>
    <w:tmpl w:val="49B859A5"/>
    <w:lvl w:ilvl="0" w:tentative="0">
      <w:start w:val="2"/>
      <w:numFmt w:val="decimal"/>
      <w:lvlText w:val="%1."/>
      <w:lvlJc w:val="left"/>
      <w:pPr>
        <w:ind w:left="425" w:hanging="425"/>
      </w:pPr>
      <w:rPr>
        <w:rFonts w:hint="default"/>
      </w:rPr>
    </w:lvl>
    <w:lvl w:ilvl="1" w:tentative="0">
      <w:start w:val="2"/>
      <w:numFmt w:val="decimal"/>
      <w:lvlText w:val="%1.%2."/>
      <w:lvlJc w:val="left"/>
      <w:pPr>
        <w:ind w:left="850" w:hanging="453"/>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abstractNum w:abstractNumId="11">
    <w:nsid w:val="714D0EBE"/>
    <w:multiLevelType w:val="multilevel"/>
    <w:tmpl w:val="714D0EBE"/>
    <w:lvl w:ilvl="0" w:tentative="0">
      <w:start w:val="1"/>
      <w:numFmt w:val="decimal"/>
      <w:lvlText w:val="%1."/>
      <w:lvlJc w:val="left"/>
      <w:pPr>
        <w:ind w:left="425" w:hanging="425"/>
      </w:pPr>
      <w:rPr>
        <w:rFonts w:hint="default"/>
      </w:rPr>
    </w:lvl>
    <w:lvl w:ilvl="1" w:tentative="0">
      <w:start w:val="1"/>
      <w:numFmt w:val="decimal"/>
      <w:lvlText w:val="%1.%2."/>
      <w:lvlJc w:val="left"/>
      <w:pPr>
        <w:ind w:left="850" w:hanging="453"/>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num w:numId="1">
    <w:abstractNumId w:val="1"/>
  </w:num>
  <w:num w:numId="2">
    <w:abstractNumId w:val="11"/>
  </w:num>
  <w:num w:numId="3">
    <w:abstractNumId w:val="4"/>
  </w:num>
  <w:num w:numId="4">
    <w:abstractNumId w:val="2"/>
  </w:num>
  <w:num w:numId="5">
    <w:abstractNumId w:val="6"/>
  </w:num>
  <w:num w:numId="6">
    <w:abstractNumId w:val="5"/>
  </w:num>
  <w:num w:numId="7">
    <w:abstractNumId w:val="0"/>
  </w:num>
  <w:num w:numId="8">
    <w:abstractNumId w:val="8"/>
  </w:num>
  <w:num w:numId="9">
    <w:abstractNumId w:val="7"/>
  </w:num>
  <w:num w:numId="10">
    <w:abstractNumId w:val="10"/>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VkZGEzZmMxMjQ1MGQ1MDk5Njc4NDA5YWI5NzNkODMifQ=="/>
  </w:docVars>
  <w:rsids>
    <w:rsidRoot w:val="44731B80"/>
    <w:rsid w:val="001A62E1"/>
    <w:rsid w:val="00861454"/>
    <w:rsid w:val="02740EFC"/>
    <w:rsid w:val="057E5747"/>
    <w:rsid w:val="060F4E46"/>
    <w:rsid w:val="087D10DD"/>
    <w:rsid w:val="088F79AD"/>
    <w:rsid w:val="0939507A"/>
    <w:rsid w:val="0A6038B4"/>
    <w:rsid w:val="0C04484A"/>
    <w:rsid w:val="0C1135E5"/>
    <w:rsid w:val="0C31000A"/>
    <w:rsid w:val="0CEE228A"/>
    <w:rsid w:val="0E343AD6"/>
    <w:rsid w:val="0F55508F"/>
    <w:rsid w:val="10E30291"/>
    <w:rsid w:val="120C1F42"/>
    <w:rsid w:val="12277634"/>
    <w:rsid w:val="14ED79F6"/>
    <w:rsid w:val="16D40D2C"/>
    <w:rsid w:val="16D60DF8"/>
    <w:rsid w:val="18466EEA"/>
    <w:rsid w:val="19AF79A9"/>
    <w:rsid w:val="1A01413F"/>
    <w:rsid w:val="1A2530B4"/>
    <w:rsid w:val="1E2D729A"/>
    <w:rsid w:val="1E877BB2"/>
    <w:rsid w:val="20121327"/>
    <w:rsid w:val="216C3D55"/>
    <w:rsid w:val="22625D7D"/>
    <w:rsid w:val="22993A20"/>
    <w:rsid w:val="250215C6"/>
    <w:rsid w:val="254A18A7"/>
    <w:rsid w:val="255A0B00"/>
    <w:rsid w:val="2584604B"/>
    <w:rsid w:val="260B70FF"/>
    <w:rsid w:val="289967CF"/>
    <w:rsid w:val="2BDD1CA9"/>
    <w:rsid w:val="2D9645F5"/>
    <w:rsid w:val="2E4C14CA"/>
    <w:rsid w:val="33353130"/>
    <w:rsid w:val="33893315"/>
    <w:rsid w:val="338B49DA"/>
    <w:rsid w:val="340840FB"/>
    <w:rsid w:val="34DC4CD4"/>
    <w:rsid w:val="357A06EA"/>
    <w:rsid w:val="36194A0B"/>
    <w:rsid w:val="378E544A"/>
    <w:rsid w:val="38EC34AE"/>
    <w:rsid w:val="39742D8A"/>
    <w:rsid w:val="39D07993"/>
    <w:rsid w:val="3A5C78D0"/>
    <w:rsid w:val="3AC60113"/>
    <w:rsid w:val="3D287EB5"/>
    <w:rsid w:val="3F261E9B"/>
    <w:rsid w:val="402F009C"/>
    <w:rsid w:val="40A84237"/>
    <w:rsid w:val="4244091D"/>
    <w:rsid w:val="4283648B"/>
    <w:rsid w:val="43BA7A80"/>
    <w:rsid w:val="44691281"/>
    <w:rsid w:val="44731B80"/>
    <w:rsid w:val="46483AA1"/>
    <w:rsid w:val="477A65F5"/>
    <w:rsid w:val="4B6A486A"/>
    <w:rsid w:val="4D1A1F32"/>
    <w:rsid w:val="4D7F6C7A"/>
    <w:rsid w:val="514229EF"/>
    <w:rsid w:val="51FC2960"/>
    <w:rsid w:val="54B73092"/>
    <w:rsid w:val="551C4CF3"/>
    <w:rsid w:val="55704075"/>
    <w:rsid w:val="56AC79C0"/>
    <w:rsid w:val="56E95A11"/>
    <w:rsid w:val="579E779A"/>
    <w:rsid w:val="59043980"/>
    <w:rsid w:val="595726E6"/>
    <w:rsid w:val="597F6571"/>
    <w:rsid w:val="5AB841D3"/>
    <w:rsid w:val="5B371BD6"/>
    <w:rsid w:val="5CEC0590"/>
    <w:rsid w:val="5E864F52"/>
    <w:rsid w:val="5F80694C"/>
    <w:rsid w:val="610E43FE"/>
    <w:rsid w:val="617D597C"/>
    <w:rsid w:val="62892317"/>
    <w:rsid w:val="63D13FFE"/>
    <w:rsid w:val="65C62D41"/>
    <w:rsid w:val="673B1CC5"/>
    <w:rsid w:val="67AD11BD"/>
    <w:rsid w:val="685B60B8"/>
    <w:rsid w:val="68A26101"/>
    <w:rsid w:val="69090EAC"/>
    <w:rsid w:val="69C169E5"/>
    <w:rsid w:val="6B2820E1"/>
    <w:rsid w:val="6D58105A"/>
    <w:rsid w:val="6E377DB4"/>
    <w:rsid w:val="6F946416"/>
    <w:rsid w:val="71F55DB9"/>
    <w:rsid w:val="724C5F20"/>
    <w:rsid w:val="72C9199E"/>
    <w:rsid w:val="74C66A4A"/>
    <w:rsid w:val="756B4217"/>
    <w:rsid w:val="77B53715"/>
    <w:rsid w:val="783A72EF"/>
    <w:rsid w:val="7B8B0ECF"/>
    <w:rsid w:val="7C7B3233"/>
    <w:rsid w:val="7CFA27B6"/>
    <w:rsid w:val="7DC456AE"/>
    <w:rsid w:val="7EC66986"/>
    <w:rsid w:val="7F3D60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autoSpaceDE/>
      <w:autoSpaceDN/>
      <w:adjustRightInd w:val="0"/>
      <w:snapToGrid w:val="0"/>
      <w:spacing w:line="360" w:lineRule="auto"/>
      <w:jc w:val="left"/>
      <w:textAlignment w:val="auto"/>
    </w:pPr>
    <w:rPr>
      <w:rFonts w:ascii="Arial" w:hAnsi="Arial" w:eastAsia="宋体" w:cs="Arial"/>
      <w:snapToGrid w:val="0"/>
      <w:color w:val="000000"/>
      <w:kern w:val="0"/>
      <w:sz w:val="24"/>
      <w:szCs w:val="21"/>
    </w:rPr>
  </w:style>
  <w:style w:type="paragraph" w:styleId="2">
    <w:name w:val="heading 1"/>
    <w:basedOn w:val="1"/>
    <w:next w:val="1"/>
    <w:autoRedefine/>
    <w:qFormat/>
    <w:uiPriority w:val="0"/>
    <w:pPr>
      <w:keepNext/>
      <w:keepLines/>
      <w:spacing w:before="40" w:beforeLines="0" w:beforeAutospacing="0" w:after="40" w:afterLines="0" w:afterAutospacing="0" w:line="360" w:lineRule="auto"/>
      <w:jc w:val="center"/>
      <w:outlineLvl w:val="0"/>
    </w:pPr>
    <w:rPr>
      <w:b/>
      <w:kern w:val="44"/>
      <w:sz w:val="32"/>
    </w:rPr>
  </w:style>
  <w:style w:type="paragraph" w:styleId="3">
    <w:name w:val="heading 2"/>
    <w:basedOn w:val="1"/>
    <w:next w:val="1"/>
    <w:autoRedefine/>
    <w:qFormat/>
    <w:uiPriority w:val="0"/>
    <w:pPr>
      <w:spacing w:before="50" w:beforeLines="50" w:after="50" w:afterLines="50" w:line="360" w:lineRule="auto"/>
      <w:contextualSpacing/>
      <w:jc w:val="left"/>
      <w:outlineLvl w:val="1"/>
    </w:pPr>
    <w:rPr>
      <w:rFonts w:ascii="宋体" w:hAnsi="宋体"/>
      <w:b/>
      <w:bCs/>
      <w:sz w:val="28"/>
      <w:szCs w:val="28"/>
    </w:rPr>
  </w:style>
  <w:style w:type="paragraph" w:styleId="4">
    <w:name w:val="heading 3"/>
    <w:basedOn w:val="1"/>
    <w:next w:val="1"/>
    <w:autoRedefine/>
    <w:unhideWhenUsed/>
    <w:qFormat/>
    <w:uiPriority w:val="0"/>
    <w:pPr>
      <w:keepNext/>
      <w:keepLines/>
      <w:spacing w:before="100" w:beforeLines="100" w:beforeAutospacing="0" w:after="100" w:afterLines="100" w:afterAutospacing="0" w:line="360" w:lineRule="auto"/>
      <w:jc w:val="center"/>
      <w:outlineLvl w:val="2"/>
    </w:pPr>
    <w:rPr>
      <w:b/>
      <w:sz w:val="30"/>
    </w:rPr>
  </w:style>
  <w:style w:type="paragraph" w:styleId="5">
    <w:name w:val="heading 4"/>
    <w:basedOn w:val="1"/>
    <w:next w:val="1"/>
    <w:autoRedefine/>
    <w:qFormat/>
    <w:uiPriority w:val="99"/>
    <w:pPr>
      <w:keepNext/>
      <w:keepLines/>
      <w:spacing w:before="280" w:after="290" w:line="376" w:lineRule="auto"/>
      <w:outlineLvl w:val="3"/>
    </w:pPr>
    <w:rPr>
      <w:rFonts w:ascii="Cambria" w:hAnsi="Cambria" w:cs="Cambria"/>
      <w:b/>
      <w:bCs/>
      <w:sz w:val="28"/>
      <w:szCs w:val="28"/>
    </w:rPr>
  </w:style>
  <w:style w:type="character" w:default="1" w:styleId="18">
    <w:name w:val="Default Paragraph Font"/>
    <w:autoRedefine/>
    <w:semiHidden/>
    <w:qFormat/>
    <w:uiPriority w:val="0"/>
  </w:style>
  <w:style w:type="table" w:default="1" w:styleId="16">
    <w:name w:val="Normal Table"/>
    <w:autoRedefine/>
    <w:semiHidden/>
    <w:qFormat/>
    <w:uiPriority w:val="0"/>
    <w:tblPr>
      <w:tblCellMar>
        <w:top w:w="0" w:type="dxa"/>
        <w:left w:w="108" w:type="dxa"/>
        <w:bottom w:w="0" w:type="dxa"/>
        <w:right w:w="108" w:type="dxa"/>
      </w:tblCellMar>
    </w:tblPr>
  </w:style>
  <w:style w:type="paragraph" w:styleId="6">
    <w:name w:val="Normal Indent"/>
    <w:basedOn w:val="1"/>
    <w:autoRedefine/>
    <w:qFormat/>
    <w:uiPriority w:val="0"/>
    <w:pPr>
      <w:ind w:firstLine="420" w:firstLineChars="200"/>
    </w:pPr>
  </w:style>
  <w:style w:type="paragraph" w:styleId="7">
    <w:name w:val="annotation text"/>
    <w:basedOn w:val="1"/>
    <w:autoRedefine/>
    <w:qFormat/>
    <w:uiPriority w:val="0"/>
    <w:pPr>
      <w:jc w:val="left"/>
    </w:pPr>
  </w:style>
  <w:style w:type="paragraph" w:styleId="8">
    <w:name w:val="Body Text"/>
    <w:basedOn w:val="1"/>
    <w:autoRedefine/>
    <w:qFormat/>
    <w:uiPriority w:val="1"/>
    <w:rPr>
      <w:sz w:val="24"/>
      <w:szCs w:val="24"/>
    </w:rPr>
  </w:style>
  <w:style w:type="paragraph" w:styleId="9">
    <w:name w:val="Block Text"/>
    <w:basedOn w:val="1"/>
    <w:autoRedefine/>
    <w:unhideWhenUsed/>
    <w:qFormat/>
    <w:uiPriority w:val="99"/>
    <w:pPr>
      <w:spacing w:after="120"/>
      <w:ind w:left="1440" w:leftChars="700" w:right="700" w:rightChars="700"/>
    </w:pPr>
  </w:style>
  <w:style w:type="paragraph" w:styleId="10">
    <w:name w:val="toc 3"/>
    <w:basedOn w:val="1"/>
    <w:next w:val="1"/>
    <w:autoRedefine/>
    <w:qFormat/>
    <w:uiPriority w:val="0"/>
    <w:pPr>
      <w:ind w:left="840" w:leftChars="400"/>
    </w:p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header"/>
    <w:basedOn w:val="1"/>
    <w:next w:val="9"/>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autoRedefine/>
    <w:qFormat/>
    <w:uiPriority w:val="0"/>
    <w:rPr>
      <w:rFonts w:ascii="Arial" w:hAnsi="Arial" w:eastAsia="宋体"/>
      <w:sz w:val="24"/>
    </w:rPr>
  </w:style>
  <w:style w:type="paragraph" w:styleId="14">
    <w:name w:val="toc 2"/>
    <w:basedOn w:val="1"/>
    <w:next w:val="1"/>
    <w:autoRedefine/>
    <w:qFormat/>
    <w:uiPriority w:val="0"/>
    <w:pPr>
      <w:ind w:left="420" w:leftChars="200"/>
    </w:pPr>
  </w:style>
  <w:style w:type="paragraph" w:styleId="15">
    <w:name w:val="Normal (Web)"/>
    <w:basedOn w:val="1"/>
    <w:autoRedefine/>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17">
    <w:name w:val="Table Grid"/>
    <w:basedOn w:val="1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autoRedefine/>
    <w:qFormat/>
    <w:uiPriority w:val="0"/>
    <w:rPr>
      <w:b/>
      <w:bCs/>
    </w:rPr>
  </w:style>
  <w:style w:type="character" w:styleId="20">
    <w:name w:val="page number"/>
    <w:basedOn w:val="18"/>
    <w:autoRedefine/>
    <w:qFormat/>
    <w:uiPriority w:val="0"/>
  </w:style>
  <w:style w:type="character" w:styleId="21">
    <w:name w:val="FollowedHyperlink"/>
    <w:basedOn w:val="18"/>
    <w:autoRedefine/>
    <w:qFormat/>
    <w:uiPriority w:val="0"/>
    <w:rPr>
      <w:color w:val="2D8CF0"/>
      <w:u w:val="none"/>
    </w:rPr>
  </w:style>
  <w:style w:type="character" w:styleId="22">
    <w:name w:val="HTML Definition"/>
    <w:basedOn w:val="18"/>
    <w:autoRedefine/>
    <w:qFormat/>
    <w:uiPriority w:val="0"/>
    <w:rPr>
      <w:i/>
      <w:iCs/>
    </w:rPr>
  </w:style>
  <w:style w:type="character" w:styleId="23">
    <w:name w:val="Hyperlink"/>
    <w:basedOn w:val="18"/>
    <w:autoRedefine/>
    <w:qFormat/>
    <w:uiPriority w:val="0"/>
    <w:rPr>
      <w:color w:val="2D8CF0"/>
      <w:u w:val="none"/>
    </w:rPr>
  </w:style>
  <w:style w:type="character" w:styleId="24">
    <w:name w:val="HTML Code"/>
    <w:basedOn w:val="18"/>
    <w:autoRedefine/>
    <w:qFormat/>
    <w:uiPriority w:val="0"/>
    <w:rPr>
      <w:rFonts w:ascii="Consolas" w:hAnsi="Consolas" w:eastAsia="Consolas" w:cs="Consolas"/>
      <w:sz w:val="21"/>
      <w:szCs w:val="21"/>
    </w:rPr>
  </w:style>
  <w:style w:type="character" w:styleId="25">
    <w:name w:val="HTML Keyboard"/>
    <w:basedOn w:val="18"/>
    <w:autoRedefine/>
    <w:qFormat/>
    <w:uiPriority w:val="0"/>
    <w:rPr>
      <w:rFonts w:hint="default" w:ascii="Consolas" w:hAnsi="Consolas" w:eastAsia="Consolas" w:cs="Consolas"/>
      <w:sz w:val="21"/>
      <w:szCs w:val="21"/>
    </w:rPr>
  </w:style>
  <w:style w:type="character" w:styleId="26">
    <w:name w:val="HTML Sample"/>
    <w:basedOn w:val="18"/>
    <w:autoRedefine/>
    <w:qFormat/>
    <w:uiPriority w:val="0"/>
    <w:rPr>
      <w:rFonts w:hint="default" w:ascii="Consolas" w:hAnsi="Consolas" w:eastAsia="Consolas" w:cs="Consolas"/>
      <w:sz w:val="21"/>
      <w:szCs w:val="21"/>
    </w:rPr>
  </w:style>
  <w:style w:type="paragraph" w:customStyle="1" w:styleId="27">
    <w:name w:val="正文（缩进）"/>
    <w:basedOn w:val="1"/>
    <w:autoRedefine/>
    <w:qFormat/>
    <w:uiPriority w:val="0"/>
    <w:pPr>
      <w:spacing w:before="156" w:after="156"/>
    </w:pPr>
  </w:style>
  <w:style w:type="paragraph" w:customStyle="1" w:styleId="2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table" w:customStyle="1" w:styleId="29">
    <w:name w:val="Table Normal"/>
    <w:autoRedefine/>
    <w:semiHidden/>
    <w:unhideWhenUsed/>
    <w:qFormat/>
    <w:uiPriority w:val="0"/>
    <w:tblPr>
      <w:tblCellMar>
        <w:top w:w="0" w:type="dxa"/>
        <w:left w:w="0" w:type="dxa"/>
        <w:bottom w:w="0" w:type="dxa"/>
        <w:right w:w="0" w:type="dxa"/>
      </w:tblCellMar>
    </w:tblPr>
  </w:style>
  <w:style w:type="character" w:customStyle="1" w:styleId="30">
    <w:name w:val="ivu-date-picker-cells-cell"/>
    <w:basedOn w:val="18"/>
    <w:autoRedefine/>
    <w:qFormat/>
    <w:uiPriority w:val="0"/>
  </w:style>
  <w:style w:type="character" w:customStyle="1" w:styleId="31">
    <w:name w:val="ivu-radio+*"/>
    <w:basedOn w:val="18"/>
    <w:autoRedefine/>
    <w:qFormat/>
    <w:uiPriority w:val="0"/>
  </w:style>
  <w:style w:type="paragraph" w:customStyle="1" w:styleId="32">
    <w:name w:val="Table Paragraph"/>
    <w:basedOn w:val="1"/>
    <w:autoRedefine/>
    <w:qFormat/>
    <w:uiPriority w:val="1"/>
  </w:style>
  <w:style w:type="paragraph" w:customStyle="1" w:styleId="33">
    <w:name w:val="列表段落1"/>
    <w:basedOn w:val="1"/>
    <w:autoRedefine/>
    <w:qFormat/>
    <w:uiPriority w:val="1"/>
    <w:pPr>
      <w:spacing w:before="1"/>
      <w:ind w:left="816" w:hanging="480"/>
    </w:pPr>
  </w:style>
  <w:style w:type="character" w:customStyle="1" w:styleId="34">
    <w:name w:val="time4"/>
    <w:basedOn w:val="18"/>
    <w:autoRedefine/>
    <w:qFormat/>
    <w:uiPriority w:val="0"/>
    <w:rPr>
      <w:color w:val="484848"/>
    </w:rPr>
  </w:style>
  <w:style w:type="character" w:customStyle="1" w:styleId="35">
    <w:name w:val="time"/>
    <w:basedOn w:val="18"/>
    <w:autoRedefine/>
    <w:qFormat/>
    <w:uiPriority w:val="0"/>
    <w:rPr>
      <w:color w:val="484848"/>
    </w:rPr>
  </w:style>
  <w:style w:type="character" w:customStyle="1" w:styleId="36">
    <w:name w:val="font61"/>
    <w:basedOn w:val="18"/>
    <w:autoRedefine/>
    <w:qFormat/>
    <w:uiPriority w:val="0"/>
    <w:rPr>
      <w:rFonts w:hint="eastAsia" w:ascii="宋体" w:hAnsi="宋体" w:eastAsia="宋体" w:cs="宋体"/>
      <w:color w:val="000000"/>
      <w:sz w:val="24"/>
      <w:szCs w:val="24"/>
      <w:u w:val="single"/>
    </w:rPr>
  </w:style>
  <w:style w:type="character" w:customStyle="1" w:styleId="37">
    <w:name w:val="font51"/>
    <w:basedOn w:val="18"/>
    <w:autoRedefine/>
    <w:qFormat/>
    <w:uiPriority w:val="0"/>
    <w:rPr>
      <w:rFonts w:hint="eastAsia" w:ascii="宋体" w:hAnsi="宋体" w:eastAsia="宋体" w:cs="宋体"/>
      <w:color w:val="000000"/>
      <w:sz w:val="24"/>
      <w:szCs w:val="24"/>
      <w:u w:val="none"/>
    </w:rPr>
  </w:style>
  <w:style w:type="paragraph" w:styleId="38">
    <w:name w:val="No Spacing"/>
    <w:autoRedefine/>
    <w:qFormat/>
    <w:uiPriority w:val="99"/>
    <w:pPr>
      <w:widowControl w:val="0"/>
      <w:jc w:val="both"/>
    </w:pPr>
    <w:rPr>
      <w:rFonts w:ascii="Times New Roman" w:hAnsi="Times New Roman" w:eastAsia="宋体" w:cs="Times New Roman"/>
      <w:kern w:val="2"/>
      <w:sz w:val="24"/>
      <w:szCs w:val="22"/>
      <w:lang w:val="en-US" w:eastAsia="zh-CN" w:bidi="ar-SA"/>
    </w:rPr>
  </w:style>
  <w:style w:type="character" w:customStyle="1" w:styleId="39">
    <w:name w:val="danger"/>
    <w:basedOn w:val="18"/>
    <w:autoRedefine/>
    <w:qFormat/>
    <w:uiPriority w:val="0"/>
    <w:rPr>
      <w:color w:val="FF2200"/>
    </w:rPr>
  </w:style>
  <w:style w:type="character" w:customStyle="1" w:styleId="40">
    <w:name w:val="danger1"/>
    <w:basedOn w:val="18"/>
    <w:autoRedefine/>
    <w:qFormat/>
    <w:uiPriority w:val="0"/>
    <w:rPr>
      <w:color w:val="FF2200"/>
    </w:rPr>
  </w:style>
  <w:style w:type="character" w:customStyle="1" w:styleId="41">
    <w:name w:val="success"/>
    <w:basedOn w:val="18"/>
    <w:autoRedefine/>
    <w:qFormat/>
    <w:uiPriority w:val="0"/>
    <w:rPr>
      <w:color w:val="2DC12D"/>
    </w:rPr>
  </w:style>
  <w:style w:type="character" w:customStyle="1" w:styleId="42">
    <w:name w:val="success1"/>
    <w:basedOn w:val="18"/>
    <w:autoRedefine/>
    <w:qFormat/>
    <w:uiPriority w:val="0"/>
    <w:rPr>
      <w:color w:val="2DC12D"/>
    </w:rPr>
  </w:style>
  <w:style w:type="character" w:customStyle="1" w:styleId="43">
    <w:name w:val="next-item"/>
    <w:basedOn w:val="18"/>
    <w:autoRedefine/>
    <w:qFormat/>
    <w:uiPriority w:val="0"/>
    <w:rPr>
      <w:color w:val="333333"/>
      <w:bdr w:val="single" w:color="CCD0D6" w:sz="6" w:space="0"/>
    </w:rPr>
  </w:style>
  <w:style w:type="character" w:customStyle="1" w:styleId="44">
    <w:name w:val="layui-laypage-curr"/>
    <w:basedOn w:val="18"/>
    <w:autoRedefine/>
    <w:qFormat/>
    <w:uiPriority w:val="0"/>
  </w:style>
  <w:style w:type="character" w:customStyle="1" w:styleId="45">
    <w:name w:val="font31"/>
    <w:basedOn w:val="18"/>
    <w:autoRedefine/>
    <w:qFormat/>
    <w:uiPriority w:val="0"/>
    <w:rPr>
      <w:rFonts w:ascii="Arial" w:hAnsi="Arial" w:cs="Arial"/>
      <w:b/>
      <w:bCs/>
      <w:color w:val="000000"/>
      <w:sz w:val="20"/>
      <w:szCs w:val="20"/>
      <w:u w:val="none"/>
    </w:rPr>
  </w:style>
  <w:style w:type="character" w:customStyle="1" w:styleId="46">
    <w:name w:val="font21"/>
    <w:basedOn w:val="18"/>
    <w:autoRedefine/>
    <w:qFormat/>
    <w:uiPriority w:val="0"/>
    <w:rPr>
      <w:rFonts w:hint="eastAsia" w:ascii="宋体" w:hAnsi="宋体" w:eastAsia="宋体" w:cs="宋体"/>
      <w:b/>
      <w:bCs/>
      <w:color w:val="000000"/>
      <w:sz w:val="20"/>
      <w:szCs w:val="20"/>
      <w:u w:val="none"/>
    </w:rPr>
  </w:style>
  <w:style w:type="paragraph" w:customStyle="1" w:styleId="47">
    <w:name w:val="图表内容"/>
    <w:basedOn w:val="1"/>
    <w:autoRedefine/>
    <w:qFormat/>
    <w:uiPriority w:val="99"/>
    <w:pPr>
      <w:kinsoku w:val="0"/>
      <w:overflowPunct w:val="0"/>
      <w:autoSpaceDE w:val="0"/>
      <w:autoSpaceDN w:val="0"/>
    </w:pPr>
    <w:rPr>
      <w:bCs/>
    </w:rPr>
  </w:style>
  <w:style w:type="character" w:customStyle="1" w:styleId="48">
    <w:name w:val="fontstyle01"/>
    <w:autoRedefine/>
    <w:qFormat/>
    <w:uiPriority w:val="0"/>
    <w:rPr>
      <w:rFonts w:hint="eastAsia" w:ascii="宋体" w:hAnsi="宋体" w:eastAsia="宋体"/>
      <w:color w:val="000000"/>
      <w:sz w:val="22"/>
      <w:szCs w:val="22"/>
    </w:rPr>
  </w:style>
  <w:style w:type="paragraph" w:styleId="49">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20901</Words>
  <Characters>22354</Characters>
  <Lines>0</Lines>
  <Paragraphs>0</Paragraphs>
  <TotalTime>3</TotalTime>
  <ScaleCrop>false</ScaleCrop>
  <LinksUpToDate>false</LinksUpToDate>
  <CharactersWithSpaces>23457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2022-03-09T02:02:00Z</dcterms:created>
  <dc:creator>肖启超。</dc:creator>
  <cp:lastModifiedBy>czy</cp:lastModifiedBy>
  <cp:lastPrinted>2024-05-13T01:21:00Z</cp:lastPrinted>
  <dcterms:modified xsi:type="dcterms:W3CDTF">2024-06-05T01:50:57Z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CE0603B485F64C61A969E259A9F104E8_13</vt:lpwstr>
  </property>
</Properties>
</file>